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0DD24" w14:textId="43B0AEFF" w:rsidR="00D52BF3" w:rsidRPr="0049755C" w:rsidRDefault="00D730DD" w:rsidP="00D52BF3">
      <w:pPr>
        <w:pStyle w:val="Header"/>
        <w:tabs>
          <w:tab w:val="right" w:pos="8647"/>
        </w:tabs>
        <w:rPr>
          <w:rFonts w:ascii="Arial" w:eastAsia="Malgun Gothic" w:hAnsi="Arial" w:cs="Arial"/>
          <w:b/>
          <w:bCs/>
          <w:sz w:val="24"/>
          <w:lang w:val="en-GB" w:eastAsia="ko-KR"/>
        </w:rPr>
      </w:pPr>
      <w:bookmarkStart w:id="0" w:name="OLE_LINK1"/>
      <w:bookmarkStart w:id="1" w:name="OLE_LINK2"/>
      <w:r>
        <w:rPr>
          <w:rFonts w:ascii="Arial" w:hAnsi="Arial" w:cs="Arial"/>
          <w:b/>
          <w:sz w:val="24"/>
          <w:lang w:val="en-GB"/>
        </w:rPr>
        <w:t>3GPP TSG-RAN WG</w:t>
      </w:r>
      <w:r w:rsidR="00342B0C">
        <w:rPr>
          <w:rFonts w:ascii="Arial" w:hAnsi="Arial" w:cs="Arial"/>
          <w:b/>
          <w:sz w:val="24"/>
          <w:lang w:val="en-GB"/>
        </w:rPr>
        <w:t>2</w:t>
      </w:r>
      <w:r>
        <w:rPr>
          <w:rFonts w:ascii="Arial" w:hAnsi="Arial" w:cs="Arial"/>
          <w:b/>
          <w:sz w:val="24"/>
          <w:lang w:val="en-GB"/>
        </w:rPr>
        <w:t xml:space="preserve"> #</w:t>
      </w:r>
      <w:r w:rsidR="00342B0C">
        <w:rPr>
          <w:rFonts w:ascii="Arial" w:hAnsi="Arial" w:cs="Arial"/>
          <w:b/>
          <w:sz w:val="24"/>
          <w:lang w:val="en-GB"/>
        </w:rPr>
        <w:t>101bis</w:t>
      </w:r>
      <w:r w:rsidR="00D52BF3" w:rsidRPr="0049755C">
        <w:rPr>
          <w:rFonts w:ascii="Arial" w:hAnsi="Arial" w:cs="Arial"/>
          <w:b/>
          <w:sz w:val="24"/>
          <w:lang w:val="en-GB"/>
        </w:rPr>
        <w:tab/>
        <w:t xml:space="preserve">     </w:t>
      </w:r>
      <w:r w:rsidR="00D52BF3" w:rsidRPr="0049755C">
        <w:rPr>
          <w:rFonts w:ascii="Arial" w:hAnsi="Arial" w:cs="Arial"/>
          <w:b/>
          <w:sz w:val="24"/>
          <w:lang w:val="en-GB"/>
        </w:rPr>
        <w:tab/>
      </w:r>
      <w:r w:rsidR="00E03787" w:rsidRPr="0049755C">
        <w:rPr>
          <w:rFonts w:ascii="Arial" w:hAnsi="Arial" w:cs="Arial"/>
          <w:b/>
          <w:sz w:val="24"/>
          <w:lang w:val="en-GB"/>
        </w:rPr>
        <w:tab/>
      </w:r>
      <w:r>
        <w:rPr>
          <w:rFonts w:ascii="Arial" w:hAnsi="Arial" w:cs="Arial"/>
          <w:b/>
          <w:sz w:val="24"/>
          <w:lang w:val="en-GB"/>
        </w:rPr>
        <w:t>R</w:t>
      </w:r>
      <w:r w:rsidR="00342B0C">
        <w:rPr>
          <w:rFonts w:ascii="Arial" w:hAnsi="Arial" w:cs="Arial"/>
          <w:b/>
          <w:sz w:val="24"/>
          <w:lang w:val="en-GB"/>
        </w:rPr>
        <w:t>2</w:t>
      </w:r>
      <w:r>
        <w:rPr>
          <w:rFonts w:ascii="Arial" w:hAnsi="Arial" w:cs="Arial"/>
          <w:b/>
          <w:sz w:val="24"/>
          <w:lang w:val="en-GB"/>
        </w:rPr>
        <w:t>-</w:t>
      </w:r>
      <w:r w:rsidR="006C4E28" w:rsidRPr="006C4E28">
        <w:rPr>
          <w:rFonts w:ascii="Arial" w:hAnsi="Arial" w:cs="Arial"/>
          <w:b/>
          <w:sz w:val="24"/>
          <w:lang w:val="en-GB"/>
        </w:rPr>
        <w:t>1805958</w:t>
      </w:r>
    </w:p>
    <w:p w14:paraId="57673FA3" w14:textId="2136C956" w:rsidR="00616831" w:rsidRPr="0049755C" w:rsidRDefault="00342B0C" w:rsidP="00624F5C">
      <w:pPr>
        <w:pStyle w:val="TdocHeader2"/>
        <w:tabs>
          <w:tab w:val="clear" w:pos="9072"/>
          <w:tab w:val="right" w:pos="9720"/>
        </w:tabs>
        <w:rPr>
          <w:rFonts w:eastAsia="Malgun Gothic" w:cs="Arial"/>
          <w:sz w:val="24"/>
          <w:lang w:val="en-US" w:eastAsia="ko-KR"/>
        </w:rPr>
      </w:pPr>
      <w:proofErr w:type="spellStart"/>
      <w:r>
        <w:rPr>
          <w:rFonts w:eastAsia="Malgun Gothic" w:cs="Arial"/>
          <w:sz w:val="24"/>
          <w:lang w:val="en-US" w:eastAsia="ko-KR"/>
        </w:rPr>
        <w:t>Sanya</w:t>
      </w:r>
      <w:proofErr w:type="spellEnd"/>
      <w:r w:rsidR="00D730DD">
        <w:rPr>
          <w:rFonts w:eastAsia="Malgun Gothic" w:cs="Arial"/>
          <w:sz w:val="24"/>
          <w:lang w:val="en-US" w:eastAsia="ko-KR"/>
        </w:rPr>
        <w:t>,</w:t>
      </w:r>
      <w:r>
        <w:rPr>
          <w:rFonts w:eastAsia="Malgun Gothic" w:cs="Arial"/>
          <w:sz w:val="24"/>
          <w:lang w:val="en-US" w:eastAsia="ko-KR"/>
        </w:rPr>
        <w:t xml:space="preserve"> China</w:t>
      </w:r>
      <w:r w:rsidR="00D730DD">
        <w:rPr>
          <w:rFonts w:eastAsia="Malgun Gothic" w:cs="Arial"/>
          <w:sz w:val="24"/>
          <w:lang w:val="en-US" w:eastAsia="ko-KR"/>
        </w:rPr>
        <w:t xml:space="preserve">, </w:t>
      </w:r>
      <w:r>
        <w:rPr>
          <w:rFonts w:eastAsia="Malgun Gothic" w:cs="Arial"/>
          <w:sz w:val="24"/>
          <w:lang w:val="en-US" w:eastAsia="ko-KR"/>
        </w:rPr>
        <w:t>1</w:t>
      </w:r>
      <w:r w:rsidR="00D730DD">
        <w:rPr>
          <w:rFonts w:eastAsia="Malgun Gothic" w:cs="Arial"/>
          <w:sz w:val="24"/>
          <w:lang w:val="en-US" w:eastAsia="ko-KR"/>
        </w:rPr>
        <w:t>6</w:t>
      </w:r>
      <w:r w:rsidR="00D730DD" w:rsidRPr="006C7F70">
        <w:rPr>
          <w:rFonts w:eastAsia="Malgun Gothic" w:cs="Arial"/>
          <w:sz w:val="24"/>
          <w:vertAlign w:val="superscript"/>
          <w:lang w:val="en-US" w:eastAsia="ko-KR"/>
        </w:rPr>
        <w:t>th</w:t>
      </w:r>
      <w:r>
        <w:rPr>
          <w:rFonts w:eastAsia="Malgun Gothic" w:cs="Arial"/>
          <w:sz w:val="24"/>
          <w:lang w:val="en-US" w:eastAsia="ko-KR"/>
        </w:rPr>
        <w:t xml:space="preserve"> April</w:t>
      </w:r>
      <w:r w:rsidR="00D730DD">
        <w:rPr>
          <w:rFonts w:eastAsia="Malgun Gothic" w:cs="Arial"/>
          <w:sz w:val="24"/>
          <w:lang w:val="en-US" w:eastAsia="ko-KR"/>
        </w:rPr>
        <w:t xml:space="preserve"> – </w:t>
      </w:r>
      <w:r>
        <w:rPr>
          <w:rFonts w:eastAsia="Malgun Gothic" w:cs="Arial"/>
          <w:sz w:val="24"/>
          <w:lang w:val="en-US" w:eastAsia="ko-KR"/>
        </w:rPr>
        <w:t>20th</w:t>
      </w:r>
      <w:r w:rsidR="00D730DD">
        <w:rPr>
          <w:rFonts w:eastAsia="Malgun Gothic" w:cs="Arial"/>
          <w:sz w:val="24"/>
          <w:lang w:val="en-US" w:eastAsia="ko-KR"/>
        </w:rPr>
        <w:t xml:space="preserve"> </w:t>
      </w:r>
      <w:r>
        <w:rPr>
          <w:rFonts w:eastAsia="Malgun Gothic" w:cs="Arial"/>
          <w:sz w:val="24"/>
          <w:lang w:val="en-US" w:eastAsia="ko-KR"/>
        </w:rPr>
        <w:t>April</w:t>
      </w:r>
      <w:r w:rsidR="009D3945" w:rsidRPr="009D3945">
        <w:rPr>
          <w:rFonts w:eastAsia="Malgun Gothic" w:cs="Arial"/>
          <w:sz w:val="24"/>
          <w:lang w:val="en-US" w:eastAsia="ko-KR"/>
        </w:rPr>
        <w:t xml:space="preserve"> 2018</w:t>
      </w:r>
      <w:r w:rsidR="005E303C" w:rsidRPr="0049755C">
        <w:rPr>
          <w:rFonts w:eastAsia="Malgun Gothic" w:cs="Arial"/>
          <w:sz w:val="24"/>
          <w:lang w:val="en-US" w:eastAsia="ko-KR"/>
        </w:rPr>
        <w:tab/>
      </w:r>
    </w:p>
    <w:p w14:paraId="3BC189AA" w14:textId="1D2FF228" w:rsidR="00616831" w:rsidRDefault="00616831" w:rsidP="00700F24">
      <w:pPr>
        <w:pStyle w:val="TdocHeader2"/>
        <w:pBdr>
          <w:bottom w:val="single" w:sz="6" w:space="1" w:color="auto"/>
        </w:pBdr>
        <w:spacing w:after="120"/>
        <w:rPr>
          <w:sz w:val="24"/>
        </w:rPr>
      </w:pPr>
    </w:p>
    <w:p w14:paraId="404E3356" w14:textId="1B0F79D4"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13143121" w14:textId="3AEDE824" w:rsidR="00D52BF3" w:rsidRPr="00B208AD" w:rsidRDefault="00D52BF3" w:rsidP="00D730DD">
      <w:pPr>
        <w:pStyle w:val="TdocHeader2"/>
        <w:spacing w:after="120"/>
        <w:ind w:left="1710" w:hanging="1710"/>
        <w:jc w:val="left"/>
        <w:rPr>
          <w:sz w:val="24"/>
        </w:rPr>
      </w:pPr>
      <w:r w:rsidRPr="00B208AD">
        <w:rPr>
          <w:sz w:val="24"/>
        </w:rPr>
        <w:t>Title:</w:t>
      </w:r>
      <w:bookmarkStart w:id="2" w:name="Title"/>
      <w:bookmarkEnd w:id="2"/>
      <w:r w:rsidRPr="00B208AD">
        <w:rPr>
          <w:sz w:val="24"/>
        </w:rPr>
        <w:tab/>
      </w:r>
      <w:r w:rsidR="00D730DD">
        <w:rPr>
          <w:sz w:val="24"/>
        </w:rPr>
        <w:tab/>
      </w:r>
      <w:r w:rsidR="006518D1">
        <w:rPr>
          <w:sz w:val="24"/>
        </w:rPr>
        <w:t>Protocol stack design considerations for L2 relaying</w:t>
      </w:r>
    </w:p>
    <w:p w14:paraId="08AD6C06" w14:textId="2856C8B1" w:rsidR="00D52BF3" w:rsidRPr="00B208AD" w:rsidRDefault="00D52BF3" w:rsidP="00700F24">
      <w:pPr>
        <w:pStyle w:val="TdocHeader2"/>
        <w:spacing w:after="120"/>
        <w:rPr>
          <w:sz w:val="24"/>
        </w:rPr>
      </w:pPr>
      <w:r w:rsidRPr="00B208AD">
        <w:rPr>
          <w:sz w:val="24"/>
        </w:rPr>
        <w:t>Agenda Item:</w:t>
      </w:r>
      <w:r w:rsidRPr="00B208AD">
        <w:rPr>
          <w:sz w:val="24"/>
        </w:rPr>
        <w:tab/>
      </w:r>
      <w:r w:rsidR="00342B0C">
        <w:rPr>
          <w:bCs/>
          <w:iCs/>
          <w:sz w:val="24"/>
        </w:rPr>
        <w:t>11</w:t>
      </w:r>
      <w:r w:rsidR="009D3945">
        <w:rPr>
          <w:bCs/>
          <w:iCs/>
          <w:sz w:val="24"/>
        </w:rPr>
        <w:t>.1</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28DD11BC" w14:textId="33808E10" w:rsidR="00AA7B2F" w:rsidRDefault="00317DDA" w:rsidP="00D11AD9">
      <w:pPr>
        <w:rPr>
          <w:lang w:val="en-GB"/>
        </w:rPr>
      </w:pPr>
      <w:r>
        <w:rPr>
          <w:lang w:val="en-GB"/>
        </w:rPr>
        <w:t>As part of the Study Item on Integrated Access and Backhaul for NR [1], 3GPP has agreed to</w:t>
      </w:r>
      <w:r w:rsidRPr="00317DDA">
        <w:rPr>
          <w:lang w:val="en-GB"/>
        </w:rPr>
        <w:t xml:space="preserve"> identify and evaluate potent</w:t>
      </w:r>
      <w:r>
        <w:rPr>
          <w:lang w:val="en-GB"/>
        </w:rPr>
        <w:t xml:space="preserve">ial solutions for </w:t>
      </w:r>
      <w:r w:rsidR="00D25060">
        <w:rPr>
          <w:lang w:val="en-GB"/>
        </w:rPr>
        <w:t xml:space="preserve">the </w:t>
      </w:r>
      <w:r w:rsidR="00AA7B2F">
        <w:rPr>
          <w:lang w:val="en-GB"/>
        </w:rPr>
        <w:t xml:space="preserve">following </w:t>
      </w:r>
      <w:r w:rsidRPr="00317DDA">
        <w:rPr>
          <w:lang w:val="en-GB"/>
        </w:rPr>
        <w:t>requirements and aspects associated with the efficient operation of integrated acce</w:t>
      </w:r>
      <w:r w:rsidR="00E05BED">
        <w:rPr>
          <w:lang w:val="en-GB"/>
        </w:rPr>
        <w:t>ss and wireless backhaul for NR [1].</w:t>
      </w:r>
      <w:r>
        <w:rPr>
          <w:lang w:val="en-GB"/>
        </w:rPr>
        <w:t xml:space="preserve"> </w:t>
      </w:r>
    </w:p>
    <w:p w14:paraId="08E222CA" w14:textId="77777777" w:rsidR="00AA7B2F" w:rsidRPr="00081E05" w:rsidRDefault="00AA7B2F" w:rsidP="00AA7B2F">
      <w:pPr>
        <w:numPr>
          <w:ilvl w:val="0"/>
          <w:numId w:val="40"/>
        </w:numPr>
        <w:spacing w:after="0"/>
        <w:rPr>
          <w:bCs/>
        </w:rPr>
      </w:pPr>
      <w:r>
        <w:rPr>
          <w:bCs/>
        </w:rPr>
        <w:t xml:space="preserve">Efficient and flexible operation for both </w:t>
      </w:r>
      <w:proofErr w:type="spellStart"/>
      <w:r>
        <w:rPr>
          <w:bCs/>
        </w:rPr>
        <w:t>i</w:t>
      </w:r>
      <w:r w:rsidRPr="00081E05">
        <w:rPr>
          <w:bCs/>
        </w:rPr>
        <w:t>nband</w:t>
      </w:r>
      <w:proofErr w:type="spellEnd"/>
      <w:r w:rsidRPr="00081E05">
        <w:rPr>
          <w:bCs/>
        </w:rPr>
        <w:t xml:space="preserve"> and </w:t>
      </w:r>
      <w:proofErr w:type="spellStart"/>
      <w:r w:rsidRPr="00081E05">
        <w:rPr>
          <w:bCs/>
        </w:rPr>
        <w:t>outband</w:t>
      </w:r>
      <w:proofErr w:type="spellEnd"/>
      <w:r>
        <w:rPr>
          <w:bCs/>
        </w:rPr>
        <w:t xml:space="preserve"> relaying in indoor and outdoor scenarios </w:t>
      </w:r>
    </w:p>
    <w:p w14:paraId="665D4525" w14:textId="77777777" w:rsidR="00AA7B2F" w:rsidRDefault="00AA7B2F" w:rsidP="00AA7B2F">
      <w:pPr>
        <w:numPr>
          <w:ilvl w:val="0"/>
          <w:numId w:val="40"/>
        </w:numPr>
        <w:spacing w:after="0"/>
        <w:rPr>
          <w:bCs/>
        </w:rPr>
      </w:pPr>
      <w:r>
        <w:rPr>
          <w:bCs/>
        </w:rPr>
        <w:t>M</w:t>
      </w:r>
      <w:r w:rsidRPr="00081E05">
        <w:rPr>
          <w:bCs/>
        </w:rPr>
        <w:t>ulti-hop and redundant connectivity</w:t>
      </w:r>
    </w:p>
    <w:p w14:paraId="23328B43" w14:textId="77777777" w:rsidR="00AA7B2F" w:rsidRDefault="00AA7B2F" w:rsidP="00AA7B2F">
      <w:pPr>
        <w:numPr>
          <w:ilvl w:val="0"/>
          <w:numId w:val="40"/>
        </w:numPr>
        <w:spacing w:after="0"/>
        <w:rPr>
          <w:bCs/>
        </w:rPr>
      </w:pPr>
      <w:r>
        <w:rPr>
          <w:bCs/>
        </w:rPr>
        <w:t>End-to-end route selection and optimization</w:t>
      </w:r>
    </w:p>
    <w:p w14:paraId="6515559D" w14:textId="77777777" w:rsidR="00AA7B2F" w:rsidRDefault="00AA7B2F" w:rsidP="00AA7B2F">
      <w:pPr>
        <w:numPr>
          <w:ilvl w:val="0"/>
          <w:numId w:val="40"/>
        </w:numPr>
        <w:spacing w:after="0"/>
        <w:rPr>
          <w:bCs/>
        </w:rPr>
      </w:pPr>
      <w:r>
        <w:rPr>
          <w:bCs/>
        </w:rPr>
        <w:t>Support of backhaul links with high spectral efficiency</w:t>
      </w:r>
    </w:p>
    <w:p w14:paraId="017D6EF8" w14:textId="2CE1AB28" w:rsidR="00AA7B2F" w:rsidRDefault="00AA7B2F" w:rsidP="00D11AD9">
      <w:pPr>
        <w:numPr>
          <w:ilvl w:val="0"/>
          <w:numId w:val="40"/>
        </w:numPr>
        <w:spacing w:after="0"/>
        <w:rPr>
          <w:bCs/>
        </w:rPr>
      </w:pPr>
      <w:r w:rsidRPr="00081E05">
        <w:rPr>
          <w:bCs/>
        </w:rPr>
        <w:t xml:space="preserve">Support of legacy </w:t>
      </w:r>
      <w:r>
        <w:rPr>
          <w:bCs/>
        </w:rPr>
        <w:t xml:space="preserve">NR </w:t>
      </w:r>
      <w:r w:rsidRPr="00081E05">
        <w:rPr>
          <w:bCs/>
        </w:rPr>
        <w:t>UEs</w:t>
      </w:r>
    </w:p>
    <w:p w14:paraId="686FE11D" w14:textId="77777777" w:rsidR="00F14D2B" w:rsidRPr="00F14D2B" w:rsidRDefault="00F14D2B" w:rsidP="00F14D2B">
      <w:pPr>
        <w:spacing w:after="0"/>
        <w:ind w:left="720"/>
        <w:rPr>
          <w:bCs/>
        </w:rPr>
      </w:pPr>
    </w:p>
    <w:p w14:paraId="385E6D1B" w14:textId="6FF450C9" w:rsidR="00827431" w:rsidRDefault="00827431" w:rsidP="00D11AD9">
      <w:pPr>
        <w:rPr>
          <w:lang w:val="en-GB"/>
        </w:rPr>
      </w:pPr>
      <w:r>
        <w:rPr>
          <w:lang w:val="en-GB"/>
        </w:rPr>
        <w:t xml:space="preserve">At the RAN2 #AH_1801 meeting </w:t>
      </w:r>
      <w:r w:rsidR="00035EA3">
        <w:rPr>
          <w:lang w:val="en-GB"/>
        </w:rPr>
        <w:t>the following agreements were made regarding IAB SI:</w:t>
      </w:r>
    </w:p>
    <w:p w14:paraId="4DECDFB5"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Agreements</w:t>
      </w:r>
    </w:p>
    <w:p w14:paraId="134F01C4"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 xml:space="preserve">1: </w:t>
      </w:r>
      <w:r w:rsidRPr="00035EA3">
        <w:rPr>
          <w:rFonts w:ascii="Arial" w:eastAsia="MS Mincho" w:hAnsi="Arial"/>
          <w:sz w:val="20"/>
          <w:szCs w:val="24"/>
          <w:lang w:val="x-none" w:eastAsia="en-GB"/>
        </w:rPr>
        <w:tab/>
        <w:t>The Rel.15 study item focuses on IAB with physically fixed relays. Optimization for mobile relays in future releases is not precluded</w:t>
      </w:r>
    </w:p>
    <w:p w14:paraId="59037BF7"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2</w:t>
      </w:r>
      <w:r w:rsidRPr="00035EA3">
        <w:rPr>
          <w:rFonts w:ascii="Arial" w:eastAsia="MS Mincho" w:hAnsi="Arial"/>
          <w:sz w:val="20"/>
          <w:szCs w:val="24"/>
          <w:lang w:val="x-none" w:eastAsia="en-GB"/>
        </w:rPr>
        <w:tab/>
        <w:t xml:space="preserve">Common architecture supports both in-band and out-of-band IAB scenarios. </w:t>
      </w:r>
    </w:p>
    <w:p w14:paraId="75B7A2AC"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2i</w:t>
      </w:r>
      <w:r w:rsidRPr="00035EA3">
        <w:rPr>
          <w:rFonts w:ascii="Arial" w:eastAsia="MS Mincho" w:hAnsi="Arial"/>
          <w:sz w:val="20"/>
          <w:szCs w:val="24"/>
          <w:lang w:val="x-none" w:eastAsia="en-GB"/>
        </w:rPr>
        <w:tab/>
        <w:t>In-band IAB scenarios including (TDM/FDM/SDM) of access and backhaul links subject to half-duplex constraint at the IAB node are supported (This agreement does not exclude full duplex from being studied by RAN1)</w:t>
      </w:r>
    </w:p>
    <w:p w14:paraId="20E88890"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2ii</w:t>
      </w:r>
      <w:r w:rsidRPr="00035EA3">
        <w:rPr>
          <w:rFonts w:ascii="Arial" w:eastAsia="MS Mincho" w:hAnsi="Arial"/>
          <w:sz w:val="20"/>
          <w:szCs w:val="24"/>
          <w:lang w:val="x-none" w:eastAsia="en-GB"/>
        </w:rPr>
        <w:tab/>
        <w:t>Out-of-band IAB scenarios are also supported using the same set of RAN features designed for in-band scenarios.  Study whether additional RAN features are needed for out-of-band scenarios</w:t>
      </w:r>
    </w:p>
    <w:p w14:paraId="13CBBB55"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3</w:t>
      </w:r>
      <w:r w:rsidRPr="00035EA3">
        <w:rPr>
          <w:rFonts w:ascii="Arial" w:eastAsia="MS Mincho" w:hAnsi="Arial"/>
          <w:sz w:val="20"/>
          <w:szCs w:val="24"/>
          <w:lang w:val="x-none" w:eastAsia="en-GB"/>
        </w:rPr>
        <w:tab/>
        <w:t xml:space="preserve">NR access over NR backhaul is studied with highest priority </w:t>
      </w:r>
    </w:p>
    <w:p w14:paraId="09DE5624"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3i</w:t>
      </w:r>
      <w:r w:rsidRPr="00035EA3">
        <w:rPr>
          <w:rFonts w:ascii="Arial" w:eastAsia="MS Mincho" w:hAnsi="Arial"/>
          <w:sz w:val="20"/>
          <w:szCs w:val="24"/>
          <w:lang w:val="x-none" w:eastAsia="en-GB"/>
        </w:rPr>
        <w:tab/>
        <w:t>Identify the additional architecture solutions required for LTE access over NR backhaul</w:t>
      </w:r>
    </w:p>
    <w:p w14:paraId="319B67A4"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3ii</w:t>
      </w:r>
      <w:r w:rsidRPr="00035EA3">
        <w:rPr>
          <w:rFonts w:ascii="Arial" w:eastAsia="MS Mincho" w:hAnsi="Arial"/>
          <w:sz w:val="20"/>
          <w:szCs w:val="24"/>
          <w:lang w:val="x-none" w:eastAsia="en-GB"/>
        </w:rPr>
        <w:tab/>
        <w:t>The IAB design shall at least support the following UEs to connect to a node which is backhauled using IAB:</w:t>
      </w:r>
    </w:p>
    <w:p w14:paraId="31E3B9C6"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ab/>
        <w:t>1/</w:t>
      </w:r>
      <w:r w:rsidRPr="00035EA3">
        <w:rPr>
          <w:rFonts w:ascii="Arial" w:eastAsia="MS Mincho" w:hAnsi="Arial"/>
          <w:sz w:val="20"/>
          <w:szCs w:val="24"/>
          <w:lang w:val="x-none" w:eastAsia="en-GB"/>
        </w:rPr>
        <w:tab/>
        <w:t>Rel. 15 NR UE</w:t>
      </w:r>
    </w:p>
    <w:p w14:paraId="085AA771"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ab/>
        <w:t>2/</w:t>
      </w:r>
      <w:r w:rsidRPr="00035EA3">
        <w:rPr>
          <w:rFonts w:ascii="Arial" w:eastAsia="MS Mincho" w:hAnsi="Arial"/>
          <w:sz w:val="20"/>
          <w:szCs w:val="24"/>
          <w:lang w:val="x-none" w:eastAsia="en-GB"/>
        </w:rPr>
        <w:tab/>
        <w:t>Legacy LTE UE if IAB supports backhauling of LTE access</w:t>
      </w:r>
    </w:p>
    <w:p w14:paraId="18D64A9B"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4i</w:t>
      </w:r>
      <w:r w:rsidRPr="00035EA3">
        <w:rPr>
          <w:rFonts w:ascii="Arial" w:eastAsia="MS Mincho" w:hAnsi="Arial"/>
          <w:sz w:val="20"/>
          <w:szCs w:val="24"/>
          <w:lang w:val="x-none" w:eastAsia="en-GB"/>
        </w:rPr>
        <w:tab/>
        <w:t>SA and NSA on the access link will be supported (For NSA on the access the relay is applied to the NR SCG path only)</w:t>
      </w:r>
    </w:p>
    <w:p w14:paraId="6FF8EAC2"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4ii</w:t>
      </w:r>
      <w:r w:rsidRPr="00035EA3">
        <w:rPr>
          <w:rFonts w:ascii="Arial" w:eastAsia="MS Mincho" w:hAnsi="Arial"/>
          <w:sz w:val="20"/>
          <w:szCs w:val="24"/>
          <w:lang w:val="x-none" w:eastAsia="en-GB"/>
        </w:rPr>
        <w:tab/>
        <w:t xml:space="preserve">Both NSA and SA for the backhaul links will be studied. (For both SA and NSA backhaul, we will not study backhaul traffic over the LTE radio interface). </w:t>
      </w:r>
    </w:p>
    <w:p w14:paraId="3B52F522"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4iii</w:t>
      </w:r>
      <w:r w:rsidRPr="00035EA3">
        <w:rPr>
          <w:rFonts w:ascii="Arial" w:eastAsia="MS Mincho" w:hAnsi="Arial"/>
          <w:sz w:val="20"/>
          <w:szCs w:val="24"/>
          <w:lang w:val="x-none" w:eastAsia="en-GB"/>
        </w:rPr>
        <w:tab/>
        <w:t>For both 4i and 4ii the priority within the NSA options will be to consider the EN-DC case but this does not preclude study for other NSA options.</w:t>
      </w:r>
    </w:p>
    <w:p w14:paraId="7892FF7A"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4iv Further study of the possible combinations of SA and NSA access and backhaul is needed to fully determine the scope of what will be studied.</w:t>
      </w:r>
    </w:p>
    <w:p w14:paraId="0ACC1DFE" w14:textId="3AC82D42" w:rsidR="00035EA3" w:rsidRDefault="00035EA3" w:rsidP="00035EA3">
      <w:pPr>
        <w:rPr>
          <w:lang w:val="en-GB"/>
        </w:rPr>
      </w:pPr>
    </w:p>
    <w:p w14:paraId="2C7D019D" w14:textId="77777777" w:rsidR="00035EA3" w:rsidRDefault="00035EA3" w:rsidP="00035EA3">
      <w:pPr>
        <w:rPr>
          <w:lang w:val="en-GB"/>
        </w:rPr>
      </w:pPr>
    </w:p>
    <w:p w14:paraId="3F8B1A63"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Agreements</w:t>
      </w:r>
    </w:p>
    <w:p w14:paraId="56801AFD"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lastRenderedPageBreak/>
        <w:t>1: IAB design shall support multiple backhaul hops</w:t>
      </w:r>
    </w:p>
    <w:p w14:paraId="0B983048"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ab/>
        <w:t>-</w:t>
      </w:r>
      <w:r w:rsidRPr="00035EA3">
        <w:rPr>
          <w:rFonts w:ascii="Arial" w:eastAsia="MS Mincho" w:hAnsi="Arial"/>
          <w:sz w:val="20"/>
          <w:szCs w:val="24"/>
          <w:lang w:val="x-none" w:eastAsia="en-GB"/>
        </w:rPr>
        <w:tab/>
        <w:t>The architecture should not impose limits on the number of backhaul hops.</w:t>
      </w:r>
    </w:p>
    <w:p w14:paraId="688101DC"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ab/>
        <w:t>-</w:t>
      </w:r>
      <w:r w:rsidRPr="00035EA3">
        <w:rPr>
          <w:rFonts w:ascii="Arial" w:eastAsia="MS Mincho" w:hAnsi="Arial"/>
          <w:sz w:val="20"/>
          <w:szCs w:val="24"/>
          <w:lang w:val="x-none" w:eastAsia="en-GB"/>
        </w:rPr>
        <w:tab/>
        <w:t>The study should consider scalability to hop-count an important KPI.</w:t>
      </w:r>
    </w:p>
    <w:p w14:paraId="38314E9B"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ab/>
        <w:t>-</w:t>
      </w:r>
      <w:r w:rsidRPr="00035EA3">
        <w:rPr>
          <w:rFonts w:ascii="Arial" w:eastAsia="MS Mincho" w:hAnsi="Arial"/>
          <w:sz w:val="20"/>
          <w:szCs w:val="24"/>
          <w:lang w:val="x-none" w:eastAsia="en-GB"/>
        </w:rPr>
        <w:tab/>
        <w:t>Single hop is considered a special case of multiple backhaul hops.</w:t>
      </w:r>
    </w:p>
    <w:p w14:paraId="56A1698C"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2: Topology adaptation for physically fixed relays is supported to enable robust operation, e.g., mitigate blockage and load variation on backhaul links</w:t>
      </w:r>
    </w:p>
    <w:p w14:paraId="095B0684"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3: L2 and L3 relay architectures will be studied. Definitions of L2- and L3-relaying in the context of IAB is FFS</w:t>
      </w:r>
    </w:p>
    <w:p w14:paraId="0415A397"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4: The IAB design should minimize the impact to core network specifications</w:t>
      </w:r>
    </w:p>
    <w:p w14:paraId="4D317CB8"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 xml:space="preserve">5: The study should consider the impact to the core network </w:t>
      </w:r>
      <w:proofErr w:type="spellStart"/>
      <w:r w:rsidRPr="00035EA3">
        <w:rPr>
          <w:rFonts w:ascii="Arial" w:eastAsia="MS Mincho" w:hAnsi="Arial"/>
          <w:sz w:val="20"/>
          <w:szCs w:val="24"/>
          <w:lang w:val="x-none" w:eastAsia="en-GB"/>
        </w:rPr>
        <w:t>signalling</w:t>
      </w:r>
      <w:proofErr w:type="spellEnd"/>
      <w:r w:rsidRPr="00035EA3">
        <w:rPr>
          <w:rFonts w:ascii="Arial" w:eastAsia="MS Mincho" w:hAnsi="Arial"/>
          <w:sz w:val="20"/>
          <w:szCs w:val="24"/>
          <w:lang w:val="x-none" w:eastAsia="en-GB"/>
        </w:rPr>
        <w:t xml:space="preserve"> load as an important KPI</w:t>
      </w:r>
    </w:p>
    <w:p w14:paraId="7E8A86C4"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6: Strive to maximize reuse of Rel-15 NR specifications for the design of the backhaul link. Enhancement can also be considered.</w:t>
      </w:r>
    </w:p>
    <w:p w14:paraId="76354284" w14:textId="62F4B568" w:rsidR="00827431" w:rsidRDefault="00827431" w:rsidP="00D11AD9">
      <w:pPr>
        <w:rPr>
          <w:lang w:val="en-GB"/>
        </w:rPr>
      </w:pPr>
    </w:p>
    <w:p w14:paraId="5B75C58C" w14:textId="180D4046" w:rsidR="00EB6001" w:rsidRDefault="00EB6001" w:rsidP="00EB6001">
      <w:pPr>
        <w:rPr>
          <w:rFonts w:eastAsia="Malgun Gothic"/>
        </w:rPr>
      </w:pPr>
      <w:r>
        <w:rPr>
          <w:lang w:val="en-GB"/>
        </w:rPr>
        <w:t xml:space="preserve">Additionally, in </w:t>
      </w:r>
      <w:r>
        <w:t>TR 38.874 v0.1.0 the terms IAB-node and the IAB-donor were defined as follows:</w:t>
      </w:r>
    </w:p>
    <w:p w14:paraId="5028792E" w14:textId="77777777" w:rsidR="00EB6001" w:rsidRDefault="00EB6001" w:rsidP="00EB6001">
      <w:pPr>
        <w:pStyle w:val="EW"/>
        <w:numPr>
          <w:ilvl w:val="0"/>
          <w:numId w:val="44"/>
        </w:numPr>
        <w:pBdr>
          <w:top w:val="single" w:sz="4" w:space="1" w:color="auto"/>
          <w:left w:val="single" w:sz="4" w:space="4" w:color="auto"/>
          <w:bottom w:val="single" w:sz="4" w:space="1" w:color="auto"/>
          <w:right w:val="single" w:sz="4" w:space="4" w:color="auto"/>
        </w:pBdr>
        <w:spacing w:after="120"/>
        <w:ind w:left="648"/>
      </w:pPr>
      <w:r>
        <w:rPr>
          <w:b/>
        </w:rPr>
        <w:t>IAB-node</w:t>
      </w:r>
      <w:r>
        <w:t xml:space="preserve">: RAN node that supports wireless access to UEs and wirelessly backhauls the access traffic. </w:t>
      </w:r>
    </w:p>
    <w:p w14:paraId="60E044C6" w14:textId="1AD6CC4E" w:rsidR="00EB6001" w:rsidRPr="00AE2B5E" w:rsidRDefault="00EB6001" w:rsidP="00D11AD9">
      <w:pPr>
        <w:pStyle w:val="EW"/>
        <w:numPr>
          <w:ilvl w:val="0"/>
          <w:numId w:val="44"/>
        </w:numPr>
        <w:pBdr>
          <w:top w:val="single" w:sz="4" w:space="1" w:color="auto"/>
          <w:left w:val="single" w:sz="4" w:space="4" w:color="auto"/>
          <w:bottom w:val="single" w:sz="4" w:space="1" w:color="auto"/>
          <w:right w:val="single" w:sz="4" w:space="4" w:color="auto"/>
        </w:pBdr>
        <w:spacing w:after="120"/>
        <w:ind w:left="648"/>
      </w:pPr>
      <w:r>
        <w:rPr>
          <w:b/>
        </w:rPr>
        <w:t>IAB-donor</w:t>
      </w:r>
      <w:r>
        <w:t>: RAN node which provides UE’s interface to core network and wireless backhauling functionality to IAB nodes.</w:t>
      </w:r>
    </w:p>
    <w:p w14:paraId="5DE72885" w14:textId="77777777" w:rsidR="00AE2B5E" w:rsidRDefault="00AE2B5E" w:rsidP="00D11AD9">
      <w:pPr>
        <w:rPr>
          <w:lang w:val="en-GB"/>
        </w:rPr>
      </w:pPr>
    </w:p>
    <w:p w14:paraId="7AEF2C38" w14:textId="338FF2E4" w:rsidR="006F1AB8" w:rsidRDefault="006C7F70" w:rsidP="00D11AD9">
      <w:pPr>
        <w:rPr>
          <w:lang w:val="en-GB"/>
        </w:rPr>
      </w:pPr>
      <w:r>
        <w:rPr>
          <w:lang w:val="en-GB"/>
        </w:rPr>
        <w:t>RAN3 has been discussing various L2 and L3 relaying options for IAB [2]. The specific use cases and scenarios to be addressed in the study item are still being discussed. Although no decisions on relaying architecture have yet been made, each architecture has</w:t>
      </w:r>
      <w:r w:rsidR="002A75CB">
        <w:rPr>
          <w:lang w:val="en-GB"/>
        </w:rPr>
        <w:t xml:space="preserve"> corresponding user plane</w:t>
      </w:r>
      <w:r>
        <w:rPr>
          <w:lang w:val="en-GB"/>
        </w:rPr>
        <w:t xml:space="preserve"> protocol stack design impacts that affect RAN2 work. In this contribution we provide protocol stack design considerations for various L2 relaying designs, and encourage RAN2 to </w:t>
      </w:r>
      <w:r w:rsidR="00AE2B5E">
        <w:rPr>
          <w:lang w:val="en-GB"/>
        </w:rPr>
        <w:t>consider</w:t>
      </w:r>
      <w:r>
        <w:rPr>
          <w:lang w:val="en-GB"/>
        </w:rPr>
        <w:t xml:space="preserve"> these aspects while studying IAB relaying. </w:t>
      </w:r>
    </w:p>
    <w:p w14:paraId="660DAB31" w14:textId="77777777" w:rsidR="006C7F70" w:rsidRDefault="006C7F70" w:rsidP="00D11AD9">
      <w:pPr>
        <w:rPr>
          <w:lang w:val="en-GB"/>
        </w:rPr>
      </w:pPr>
    </w:p>
    <w:p w14:paraId="3910AB39" w14:textId="3BB7E3ED" w:rsidR="006F1AB8" w:rsidRDefault="003A79AA" w:rsidP="00C26A7D">
      <w:pPr>
        <w:pStyle w:val="Heading1"/>
      </w:pPr>
      <w:r>
        <w:t>User Plane Protocol Design Considerations</w:t>
      </w:r>
    </w:p>
    <w:p w14:paraId="39C0D36A" w14:textId="485518B3" w:rsidR="00670DC9" w:rsidRDefault="00670DC9" w:rsidP="00C26A7D">
      <w:r>
        <w:t>For each of the L2 relaying designs being considered, there will be at least some RAN2 specification impact on the user plane protocol design. The main impact is the need to introduce</w:t>
      </w:r>
      <w:r w:rsidR="00775052">
        <w:t xml:space="preserve"> a new Adaptation Layer</w:t>
      </w:r>
      <w:r w:rsidR="00AE2B5E">
        <w:t xml:space="preserve"> to provide routing and potentially bearer aggregation functionality</w:t>
      </w:r>
      <w:r w:rsidR="00775052">
        <w:t xml:space="preserve">. </w:t>
      </w:r>
      <w:r w:rsidR="00EB6001">
        <w:t>As described in [2], several different designs have been discussed regarding placement of the adaptation layer functionality in the user plane protocol stack. The main flavors are as follows</w:t>
      </w:r>
      <w:r w:rsidR="00582039">
        <w:t xml:space="preserve"> (shown only for architecture 1a</w:t>
      </w:r>
      <w:r w:rsidR="003B2B3F">
        <w:t xml:space="preserve"> from [2]</w:t>
      </w:r>
      <w:r w:rsidR="00582039">
        <w:t xml:space="preserve"> </w:t>
      </w:r>
      <w:r w:rsidR="00EB0397">
        <w:t>for a 2-hop relay case</w:t>
      </w:r>
      <w:proofErr w:type="gramStart"/>
      <w:r w:rsidR="00582039">
        <w:t>)</w:t>
      </w:r>
      <w:r w:rsidR="00340E6C">
        <w:t xml:space="preserve"> </w:t>
      </w:r>
      <w:r w:rsidR="00EB6001">
        <w:t>:</w:t>
      </w:r>
      <w:proofErr w:type="gramEnd"/>
    </w:p>
    <w:p w14:paraId="50E0EF1A" w14:textId="28FAAE93" w:rsidR="00EB6001" w:rsidRDefault="00AE2B5E" w:rsidP="00EB6001">
      <w:pPr>
        <w:pStyle w:val="ListParagraph"/>
        <w:numPr>
          <w:ilvl w:val="0"/>
          <w:numId w:val="43"/>
        </w:numPr>
      </w:pPr>
      <w:r w:rsidRPr="009B0E57">
        <w:rPr>
          <w:b/>
        </w:rPr>
        <w:t>Option 1</w:t>
      </w:r>
      <w:r>
        <w:t xml:space="preserve">: </w:t>
      </w:r>
      <w:r w:rsidR="00EB6001">
        <w:t xml:space="preserve">New </w:t>
      </w:r>
      <w:r w:rsidR="006A6012">
        <w:t>adaptation l</w:t>
      </w:r>
      <w:r w:rsidR="00EB6001">
        <w:t>ayer is introduced above the RLC layer at the IAB node</w:t>
      </w:r>
    </w:p>
    <w:p w14:paraId="340800C4" w14:textId="77777777" w:rsidR="008568A6" w:rsidRDefault="008568A6" w:rsidP="008568A6"/>
    <w:p w14:paraId="3A2B7E0B" w14:textId="717C7D80" w:rsidR="007B4D4F" w:rsidRDefault="00EB0397" w:rsidP="009B0E57">
      <w:pPr>
        <w:jc w:val="center"/>
      </w:pPr>
      <w:r>
        <w:rPr>
          <w:noProof/>
        </w:rPr>
        <w:drawing>
          <wp:inline distT="0" distB="0" distL="0" distR="0" wp14:anchorId="5D27B1AB" wp14:editId="199AF5A3">
            <wp:extent cx="5772710" cy="1407760"/>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72710" cy="1407760"/>
                    </a:xfrm>
                    <a:prstGeom prst="rect">
                      <a:avLst/>
                    </a:prstGeom>
                    <a:noFill/>
                  </pic:spPr>
                </pic:pic>
              </a:graphicData>
            </a:graphic>
          </wp:inline>
        </w:drawing>
      </w:r>
    </w:p>
    <w:p w14:paraId="3E62AC76" w14:textId="77777777" w:rsidR="007B4D4F" w:rsidRDefault="007B4D4F" w:rsidP="007B4D4F"/>
    <w:p w14:paraId="0C10518C" w14:textId="245E5939" w:rsidR="0087094D" w:rsidRDefault="00AE2B5E" w:rsidP="009B0E57">
      <w:pPr>
        <w:pStyle w:val="ListParagraph"/>
        <w:numPr>
          <w:ilvl w:val="0"/>
          <w:numId w:val="43"/>
        </w:numPr>
      </w:pPr>
      <w:r w:rsidRPr="009B0E57">
        <w:rPr>
          <w:b/>
        </w:rPr>
        <w:lastRenderedPageBreak/>
        <w:t>Option 2</w:t>
      </w:r>
      <w:r>
        <w:t xml:space="preserve">: </w:t>
      </w:r>
      <w:r w:rsidR="00EB36AE">
        <w:t>A n</w:t>
      </w:r>
      <w:r w:rsidR="006A6012">
        <w:t>ew adaptation l</w:t>
      </w:r>
      <w:r w:rsidR="00EB6001">
        <w:t xml:space="preserve">ayer is introduced </w:t>
      </w:r>
      <w:r w:rsidR="003A746B">
        <w:t>above</w:t>
      </w:r>
      <w:r>
        <w:t xml:space="preserve"> the MAC layer </w:t>
      </w:r>
      <w:r w:rsidR="003A746B">
        <w:t xml:space="preserve">at the IAB node. </w:t>
      </w:r>
      <w:r w:rsidR="00EB36AE">
        <w:t>In this option</w:t>
      </w:r>
      <w:r w:rsidR="009B0E57">
        <w:t>, t</w:t>
      </w:r>
      <w:r w:rsidR="0087094D">
        <w:t xml:space="preserve">he RLC layer resides at the IAB node, so that RLC ARQ is performed hop-by-hop for each relay hop. </w:t>
      </w:r>
    </w:p>
    <w:p w14:paraId="4511F6E1" w14:textId="77777777" w:rsidR="009B0E57" w:rsidRDefault="009B0E57" w:rsidP="009B0E57">
      <w:pPr>
        <w:pStyle w:val="ListParagraph"/>
        <w:ind w:left="1440"/>
      </w:pPr>
    </w:p>
    <w:p w14:paraId="02301B81" w14:textId="4A8E0598" w:rsidR="00EB0397" w:rsidRDefault="007E5121" w:rsidP="009B0E57">
      <w:pPr>
        <w:jc w:val="center"/>
      </w:pPr>
      <w:r>
        <w:rPr>
          <w:noProof/>
        </w:rPr>
        <w:drawing>
          <wp:inline distT="0" distB="0" distL="0" distR="0" wp14:anchorId="5695020B" wp14:editId="7E7C8B80">
            <wp:extent cx="6033243" cy="1471295"/>
            <wp:effectExtent l="0" t="0" r="571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6533" cy="1491607"/>
                    </a:xfrm>
                    <a:prstGeom prst="rect">
                      <a:avLst/>
                    </a:prstGeom>
                    <a:noFill/>
                  </pic:spPr>
                </pic:pic>
              </a:graphicData>
            </a:graphic>
          </wp:inline>
        </w:drawing>
      </w:r>
    </w:p>
    <w:p w14:paraId="5D59B91A" w14:textId="77777777" w:rsidR="00EB0397" w:rsidRDefault="00EB0397" w:rsidP="00EB0397">
      <w:pPr>
        <w:pStyle w:val="ListParagraph"/>
        <w:ind w:left="1440"/>
      </w:pPr>
    </w:p>
    <w:p w14:paraId="4C9EEB59" w14:textId="1E9A58EC" w:rsidR="003A746B" w:rsidRDefault="009B0E57" w:rsidP="009B0E57">
      <w:pPr>
        <w:pStyle w:val="ListParagraph"/>
        <w:numPr>
          <w:ilvl w:val="0"/>
          <w:numId w:val="43"/>
        </w:numPr>
      </w:pPr>
      <w:r w:rsidRPr="009B0E57">
        <w:rPr>
          <w:b/>
        </w:rPr>
        <w:t>Option 3</w:t>
      </w:r>
      <w:r w:rsidR="003A746B">
        <w:t xml:space="preserve">: </w:t>
      </w:r>
      <w:r w:rsidR="00474DB0">
        <w:t>In this option, a n</w:t>
      </w:r>
      <w:r>
        <w:t xml:space="preserve">ew adaptation layer is also introduced above the MAC layer at the IAB node. </w:t>
      </w:r>
      <w:r w:rsidR="00EB36AE">
        <w:t>However</w:t>
      </w:r>
      <w:r>
        <w:t>, t</w:t>
      </w:r>
      <w:r w:rsidR="003A746B">
        <w:t>he RLC layer is divided into two parts, where the lower RLC functionality resides at the IAB nodes and upper RLC fu</w:t>
      </w:r>
      <w:r w:rsidR="00346C2C">
        <w:t>nctionality resides at the IAB d</w:t>
      </w:r>
      <w:r w:rsidR="003A746B">
        <w:t>onor</w:t>
      </w:r>
      <w:r w:rsidR="00346C2C">
        <w:t xml:space="preserve"> to provide end-to-end RLC ARQ between IAB d</w:t>
      </w:r>
      <w:r w:rsidR="00340E6C">
        <w:t>onor and UE</w:t>
      </w:r>
      <w:r>
        <w:t>.</w:t>
      </w:r>
    </w:p>
    <w:p w14:paraId="79E53A07" w14:textId="77777777" w:rsidR="008568A6" w:rsidRDefault="008568A6" w:rsidP="008568A6">
      <w:pPr>
        <w:pStyle w:val="ListParagraph"/>
        <w:ind w:left="360"/>
      </w:pPr>
    </w:p>
    <w:p w14:paraId="07FE803D" w14:textId="34C1CF68" w:rsidR="0087094D" w:rsidRDefault="009B0E57" w:rsidP="00EC795E">
      <w:pPr>
        <w:jc w:val="center"/>
      </w:pPr>
      <w:r>
        <w:rPr>
          <w:noProof/>
        </w:rPr>
        <w:drawing>
          <wp:inline distT="0" distB="0" distL="0" distR="0" wp14:anchorId="2D7B5E0D" wp14:editId="2461B0C0">
            <wp:extent cx="6057772" cy="1477277"/>
            <wp:effectExtent l="0" t="0" r="635"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32286" cy="1495448"/>
                    </a:xfrm>
                    <a:prstGeom prst="rect">
                      <a:avLst/>
                    </a:prstGeom>
                    <a:noFill/>
                  </pic:spPr>
                </pic:pic>
              </a:graphicData>
            </a:graphic>
          </wp:inline>
        </w:drawing>
      </w:r>
    </w:p>
    <w:p w14:paraId="288E07C9" w14:textId="77777777" w:rsidR="009B0E57" w:rsidRDefault="009B0E57" w:rsidP="0087094D"/>
    <w:p w14:paraId="39CC5531" w14:textId="20E2EB01" w:rsidR="0087094D" w:rsidRDefault="00555971" w:rsidP="0087094D">
      <w:r>
        <w:t>R</w:t>
      </w:r>
      <w:r w:rsidR="0087094D">
        <w:t xml:space="preserve">AN2 </w:t>
      </w:r>
      <w:r w:rsidR="006A6012">
        <w:t xml:space="preserve">user plane protocol design </w:t>
      </w:r>
      <w:r w:rsidR="0087094D">
        <w:t>implications of the above designs</w:t>
      </w:r>
      <w:r>
        <w:t xml:space="preserve"> are discussed below:</w:t>
      </w:r>
      <w:r w:rsidR="0087094D">
        <w:t xml:space="preserve"> </w:t>
      </w:r>
    </w:p>
    <w:p w14:paraId="64FA0067" w14:textId="62322BD5" w:rsidR="006A6012" w:rsidRDefault="006A6012" w:rsidP="0087094D">
      <w:r>
        <w:t xml:space="preserve">Option 1: Adaptation layer above RLC layer at IAB node </w:t>
      </w:r>
    </w:p>
    <w:p w14:paraId="748E279D" w14:textId="3393FE3E" w:rsidR="006A6012" w:rsidRDefault="006A6012" w:rsidP="006A6012">
      <w:pPr>
        <w:pStyle w:val="ListParagraph"/>
        <w:numPr>
          <w:ilvl w:val="0"/>
          <w:numId w:val="45"/>
        </w:numPr>
      </w:pPr>
      <w:r>
        <w:t>New specification work mainly restricted to new adaptation layer</w:t>
      </w:r>
    </w:p>
    <w:p w14:paraId="4F8D6E42" w14:textId="6E2205D8" w:rsidR="006A6012" w:rsidRDefault="006A6012" w:rsidP="006A6012">
      <w:pPr>
        <w:pStyle w:val="ListParagraph"/>
        <w:numPr>
          <w:ilvl w:val="0"/>
          <w:numId w:val="45"/>
        </w:numPr>
      </w:pPr>
      <w:r>
        <w:t>Almost no impact to MAC, RLC, and PDCP specifications</w:t>
      </w:r>
    </w:p>
    <w:p w14:paraId="35A9120D" w14:textId="17FA6734" w:rsidR="006A6012" w:rsidRDefault="006A6012" w:rsidP="006A6012"/>
    <w:p w14:paraId="7C55E804" w14:textId="5E08A308" w:rsidR="006A6012" w:rsidRDefault="009B0E57" w:rsidP="006A6012">
      <w:r>
        <w:t>Option 2</w:t>
      </w:r>
      <w:r w:rsidR="006A6012">
        <w:t>: Adaptation layer above MAC layer, with full RLC l</w:t>
      </w:r>
      <w:r w:rsidR="00577EBD">
        <w:t>ayer at IAB n</w:t>
      </w:r>
      <w:r w:rsidR="006A6012">
        <w:t>ode</w:t>
      </w:r>
    </w:p>
    <w:p w14:paraId="1F06F13A" w14:textId="176020A7" w:rsidR="006A6012" w:rsidRDefault="00005420" w:rsidP="006A6012">
      <w:pPr>
        <w:pStyle w:val="ListParagraph"/>
        <w:numPr>
          <w:ilvl w:val="0"/>
          <w:numId w:val="46"/>
        </w:numPr>
      </w:pPr>
      <w:r>
        <w:t>May need enhancement of MAC sub</w:t>
      </w:r>
      <w:r w:rsidR="009A5761">
        <w:t>-</w:t>
      </w:r>
      <w:r>
        <w:t xml:space="preserve">header to incorporate UE ID for routing and multiplexing </w:t>
      </w:r>
    </w:p>
    <w:p w14:paraId="1AE2FF04" w14:textId="648DC305" w:rsidR="00005420" w:rsidRDefault="00005420" w:rsidP="006A6012">
      <w:pPr>
        <w:pStyle w:val="ListParagraph"/>
        <w:numPr>
          <w:ilvl w:val="0"/>
          <w:numId w:val="46"/>
        </w:numPr>
      </w:pPr>
      <w:r>
        <w:t xml:space="preserve">May need extension of LCID space to accommodate potentially larger number of bearers </w:t>
      </w:r>
    </w:p>
    <w:p w14:paraId="2D7F7933" w14:textId="2AB5D49C" w:rsidR="00005420" w:rsidRDefault="005C2365" w:rsidP="006A6012">
      <w:pPr>
        <w:pStyle w:val="ListParagraph"/>
        <w:numPr>
          <w:ilvl w:val="0"/>
          <w:numId w:val="46"/>
        </w:numPr>
      </w:pPr>
      <w:r>
        <w:t>Potentially no impact to RLC and PDCP specifications</w:t>
      </w:r>
    </w:p>
    <w:p w14:paraId="1CAA27E3" w14:textId="18C756FE" w:rsidR="00F2362D" w:rsidRDefault="00F2362D" w:rsidP="006A6012">
      <w:pPr>
        <w:pStyle w:val="ListParagraph"/>
        <w:numPr>
          <w:ilvl w:val="0"/>
          <w:numId w:val="46"/>
        </w:numPr>
      </w:pPr>
      <w:r>
        <w:t>Able to exploit the MAC layer’s inherent ability to multiplex different bearers</w:t>
      </w:r>
    </w:p>
    <w:p w14:paraId="2CAD4A3C" w14:textId="0F75E389" w:rsidR="00577EBD" w:rsidRDefault="00577EBD" w:rsidP="00577EBD"/>
    <w:p w14:paraId="38A6B64B" w14:textId="1A851BF1" w:rsidR="00577EBD" w:rsidRDefault="009B0E57" w:rsidP="00577EBD">
      <w:r>
        <w:t>Option 3</w:t>
      </w:r>
      <w:r w:rsidR="00577EBD">
        <w:t xml:space="preserve">: Adaptation layer above MAC layer, with lower RLC at IAB node, and end-to-end </w:t>
      </w:r>
      <w:r w:rsidR="00112054">
        <w:t>RLC ARQ betwee</w:t>
      </w:r>
      <w:r w:rsidR="00340E6C">
        <w:t>n IAB donor and UE.</w:t>
      </w:r>
    </w:p>
    <w:p w14:paraId="2E22DDED" w14:textId="144FE524" w:rsidR="00112054" w:rsidRDefault="00112054" w:rsidP="00112054">
      <w:pPr>
        <w:pStyle w:val="ListParagraph"/>
        <w:numPr>
          <w:ilvl w:val="0"/>
          <w:numId w:val="47"/>
        </w:numPr>
      </w:pPr>
      <w:r>
        <w:t xml:space="preserve">Greatest RAN2 specification impact of all three options, with potential impacts to MAC, RLC, and PDCP specifications </w:t>
      </w:r>
    </w:p>
    <w:p w14:paraId="0D1AA3EF" w14:textId="2C760A93" w:rsidR="00F2362D" w:rsidRDefault="00F2362D" w:rsidP="00F2362D">
      <w:pPr>
        <w:pStyle w:val="ListParagraph"/>
        <w:numPr>
          <w:ilvl w:val="0"/>
          <w:numId w:val="47"/>
        </w:numPr>
      </w:pPr>
      <w:r>
        <w:lastRenderedPageBreak/>
        <w:t xml:space="preserve">Same </w:t>
      </w:r>
      <w:r w:rsidR="00112054">
        <w:t xml:space="preserve">MAC </w:t>
      </w:r>
      <w:r>
        <w:t xml:space="preserve">specification considerations </w:t>
      </w:r>
      <w:r w:rsidR="00C749EF">
        <w:t xml:space="preserve">as </w:t>
      </w:r>
      <w:r w:rsidR="00112054">
        <w:t>for</w:t>
      </w:r>
      <w:r w:rsidR="00FC7899">
        <w:t xml:space="preserve"> Option 2</w:t>
      </w:r>
      <w:r w:rsidR="00112054">
        <w:t xml:space="preserve"> above</w:t>
      </w:r>
      <w:r w:rsidR="00F77945">
        <w:t xml:space="preserve">. </w:t>
      </w:r>
    </w:p>
    <w:p w14:paraId="328B3D91" w14:textId="5CFC5F1A" w:rsidR="00112054" w:rsidRDefault="00112054" w:rsidP="00112054">
      <w:pPr>
        <w:pStyle w:val="ListParagraph"/>
        <w:numPr>
          <w:ilvl w:val="0"/>
          <w:numId w:val="47"/>
        </w:numPr>
      </w:pPr>
      <w:r>
        <w:t>May require extension of SN space at RLC to accommodate longer RTT for multi-hop relay cases.</w:t>
      </w:r>
    </w:p>
    <w:p w14:paraId="58D94E46" w14:textId="6687D937" w:rsidR="00F77945" w:rsidRDefault="00F77945" w:rsidP="00112054">
      <w:pPr>
        <w:pStyle w:val="ListParagraph"/>
        <w:numPr>
          <w:ilvl w:val="0"/>
          <w:numId w:val="47"/>
        </w:numPr>
      </w:pPr>
      <w:r>
        <w:t>Potential effect on Radio Link Monitoring due to end-to-end RLC going across multiple hops.</w:t>
      </w:r>
    </w:p>
    <w:p w14:paraId="5D254D8C" w14:textId="35C6DD2F" w:rsidR="00112054" w:rsidRDefault="00112054" w:rsidP="00112054">
      <w:pPr>
        <w:pStyle w:val="ListParagraph"/>
        <w:numPr>
          <w:ilvl w:val="0"/>
          <w:numId w:val="47"/>
        </w:numPr>
      </w:pPr>
      <w:r>
        <w:t xml:space="preserve">May require increasing </w:t>
      </w:r>
      <w:r w:rsidR="004679EE">
        <w:t xml:space="preserve">the </w:t>
      </w:r>
      <w:r>
        <w:t>range of PDCP reordering timer</w:t>
      </w:r>
    </w:p>
    <w:p w14:paraId="292011E4" w14:textId="4A376E7A" w:rsidR="00203AD5" w:rsidRDefault="00203AD5" w:rsidP="00112054">
      <w:pPr>
        <w:pStyle w:val="ListParagraph"/>
        <w:numPr>
          <w:ilvl w:val="0"/>
          <w:numId w:val="47"/>
        </w:numPr>
      </w:pPr>
      <w:r>
        <w:t>In addition to above specification impact, this option may have potential performance impac</w:t>
      </w:r>
      <w:r w:rsidR="0022049E">
        <w:t xml:space="preserve">ts with route switching in </w:t>
      </w:r>
      <w:r>
        <w:t>multi-hop relay cases. This is because with end-to-end RLC ARQ, when there is a route change involving the chang</w:t>
      </w:r>
      <w:r w:rsidR="00340E6C">
        <w:t>e of an</w:t>
      </w:r>
      <w:r>
        <w:t xml:space="preserve"> IAB node, the RLC varia</w:t>
      </w:r>
      <w:r w:rsidR="00340E6C">
        <w:t>bles of the new IAB</w:t>
      </w:r>
      <w:r>
        <w:t xml:space="preserve"> node will not match</w:t>
      </w:r>
      <w:r w:rsidR="00340E6C">
        <w:t xml:space="preserve"> the RLC variables of the old IAB</w:t>
      </w:r>
      <w:r>
        <w:t xml:space="preserve"> node. This could potentially require additional specification work to introduce mitigating solutions. </w:t>
      </w:r>
    </w:p>
    <w:p w14:paraId="44E456CF" w14:textId="488653F7" w:rsidR="00203AD5" w:rsidRDefault="00203AD5" w:rsidP="00C26A7D"/>
    <w:p w14:paraId="64500B63" w14:textId="45EC4891" w:rsidR="00250675" w:rsidRDefault="00240494" w:rsidP="00C26A7D">
      <w:pPr>
        <w:rPr>
          <w:b/>
        </w:rPr>
      </w:pPr>
      <w:r w:rsidRPr="00897143">
        <w:rPr>
          <w:b/>
        </w:rPr>
        <w:t>Observat</w:t>
      </w:r>
      <w:r w:rsidR="006C4E28">
        <w:rPr>
          <w:b/>
        </w:rPr>
        <w:t>io</w:t>
      </w:r>
      <w:r w:rsidR="00FB2656">
        <w:rPr>
          <w:b/>
        </w:rPr>
        <w:t>n 1: L2 relaying designs where</w:t>
      </w:r>
      <w:r w:rsidR="006C4E28">
        <w:rPr>
          <w:b/>
        </w:rPr>
        <w:t xml:space="preserve"> end-to-end RLC ARQ </w:t>
      </w:r>
      <w:r w:rsidR="00FB2656">
        <w:rPr>
          <w:b/>
        </w:rPr>
        <w:t xml:space="preserve">is </w:t>
      </w:r>
      <w:r w:rsidRPr="00897143">
        <w:rPr>
          <w:b/>
        </w:rPr>
        <w:t>perform</w:t>
      </w:r>
      <w:r w:rsidR="00FB2656">
        <w:rPr>
          <w:b/>
        </w:rPr>
        <w:t>ed between IAB donor and UE with</w:t>
      </w:r>
      <w:r w:rsidRPr="00897143">
        <w:rPr>
          <w:b/>
        </w:rPr>
        <w:t xml:space="preserve"> a new adaptation layer introduced above the MAC layer may have greater RAN2 specification impact compa</w:t>
      </w:r>
      <w:r w:rsidR="006C4E28">
        <w:rPr>
          <w:b/>
        </w:rPr>
        <w:t>red to L2 relayi</w:t>
      </w:r>
      <w:r w:rsidR="000E13E5">
        <w:rPr>
          <w:b/>
        </w:rPr>
        <w:t>ng designs where</w:t>
      </w:r>
      <w:r w:rsidR="006C4E28">
        <w:rPr>
          <w:b/>
        </w:rPr>
        <w:t xml:space="preserve"> RLC ARQ </w:t>
      </w:r>
      <w:r w:rsidR="000E13E5">
        <w:rPr>
          <w:b/>
        </w:rPr>
        <w:t xml:space="preserve">is </w:t>
      </w:r>
      <w:r w:rsidRPr="00897143">
        <w:rPr>
          <w:b/>
        </w:rPr>
        <w:t>perform</w:t>
      </w:r>
      <w:r w:rsidR="000E13E5">
        <w:rPr>
          <w:b/>
        </w:rPr>
        <w:t>ed on a hop-by-hop basis with</w:t>
      </w:r>
      <w:r w:rsidRPr="00897143">
        <w:rPr>
          <w:b/>
        </w:rPr>
        <w:t xml:space="preserve"> a new adaptation layer introduced either above the RLC or MAC layer. </w:t>
      </w:r>
    </w:p>
    <w:p w14:paraId="123E1FBE" w14:textId="12396230" w:rsidR="006C4E28" w:rsidRPr="00897143" w:rsidRDefault="006C4E28" w:rsidP="00C26A7D">
      <w:pPr>
        <w:rPr>
          <w:b/>
        </w:rPr>
      </w:pPr>
      <w:r>
        <w:rPr>
          <w:b/>
        </w:rPr>
        <w:t>Observa</w:t>
      </w:r>
      <w:r w:rsidR="000E13E5">
        <w:rPr>
          <w:b/>
        </w:rPr>
        <w:t>tion 2: L2 relaying designs where</w:t>
      </w:r>
      <w:r>
        <w:rPr>
          <w:b/>
        </w:rPr>
        <w:t xml:space="preserve"> end-to-end RLC ARQ </w:t>
      </w:r>
      <w:r w:rsidR="000E13E5">
        <w:rPr>
          <w:b/>
        </w:rPr>
        <w:t xml:space="preserve">is </w:t>
      </w:r>
      <w:r>
        <w:rPr>
          <w:b/>
        </w:rPr>
        <w:t xml:space="preserve">performed between IAB donor and UE may have greater performance issues, especially with route switching in multi-hop scenarios, compared to L2 relaying designs where RLC ARQ is performed on a hop-by-hop basis. </w:t>
      </w:r>
    </w:p>
    <w:p w14:paraId="62CF7514" w14:textId="50988EBD" w:rsidR="00203AD5" w:rsidRPr="00B5153D" w:rsidRDefault="00203AD5" w:rsidP="00C26A7D">
      <w:pPr>
        <w:rPr>
          <w:b/>
        </w:rPr>
      </w:pPr>
      <w:r w:rsidRPr="00B5153D">
        <w:rPr>
          <w:b/>
        </w:rPr>
        <w:t xml:space="preserve">Proposal 1: RAN2 should </w:t>
      </w:r>
      <w:r w:rsidR="00CB61BB" w:rsidRPr="00B5153D">
        <w:rPr>
          <w:b/>
        </w:rPr>
        <w:t>consider</w:t>
      </w:r>
      <w:r w:rsidRPr="00B5153D">
        <w:rPr>
          <w:b/>
        </w:rPr>
        <w:t xml:space="preserve"> ab</w:t>
      </w:r>
      <w:r w:rsidR="00524196">
        <w:rPr>
          <w:b/>
        </w:rPr>
        <w:t>ove user plane protocol design implications</w:t>
      </w:r>
      <w:r w:rsidR="003748EB">
        <w:rPr>
          <w:b/>
        </w:rPr>
        <w:t xml:space="preserve"> when evaluating</w:t>
      </w:r>
      <w:bookmarkStart w:id="3" w:name="_GoBack"/>
      <w:bookmarkEnd w:id="3"/>
      <w:r w:rsidRPr="00B5153D">
        <w:rPr>
          <w:b/>
        </w:rPr>
        <w:t xml:space="preserve"> different IAB solutions.</w:t>
      </w:r>
    </w:p>
    <w:p w14:paraId="6879EC81" w14:textId="77777777" w:rsidR="002D52C3" w:rsidRDefault="002D52C3" w:rsidP="000C5F30">
      <w:pPr>
        <w:rPr>
          <w:b/>
          <w:lang w:val="en-GB"/>
        </w:rPr>
      </w:pPr>
    </w:p>
    <w:p w14:paraId="70C82586" w14:textId="6A5BE23B" w:rsidR="008D04DC" w:rsidRDefault="007C3145" w:rsidP="008D04DC">
      <w:pPr>
        <w:pStyle w:val="Heading1"/>
      </w:pPr>
      <w:r>
        <w:t>Conclusion</w:t>
      </w:r>
    </w:p>
    <w:p w14:paraId="5D3F33F4" w14:textId="4759C5BD" w:rsidR="00F35C83" w:rsidRDefault="00A7768F" w:rsidP="00F35C83">
      <w:pPr>
        <w:rPr>
          <w:b/>
          <w:lang w:val="en-GB"/>
        </w:rPr>
      </w:pPr>
      <w:r>
        <w:rPr>
          <w:lang w:val="en-GB"/>
        </w:rPr>
        <w:t xml:space="preserve">In this </w:t>
      </w:r>
      <w:r w:rsidR="00D43FA6">
        <w:rPr>
          <w:lang w:val="en-GB"/>
        </w:rPr>
        <w:t>contribution,</w:t>
      </w:r>
      <w:r w:rsidR="00F91EE0">
        <w:rPr>
          <w:lang w:val="en-GB"/>
        </w:rPr>
        <w:t xml:space="preserve"> </w:t>
      </w:r>
      <w:r w:rsidR="00250675">
        <w:rPr>
          <w:lang w:val="en-GB"/>
        </w:rPr>
        <w:t>we discussed the user plane protocol design implications of various IAB architecture designs being discussed. The following proposal was made</w:t>
      </w:r>
      <w:r w:rsidR="00EF3B5D">
        <w:rPr>
          <w:lang w:val="en-GB"/>
        </w:rPr>
        <w:t>:</w:t>
      </w:r>
    </w:p>
    <w:p w14:paraId="189138B4" w14:textId="77777777" w:rsidR="00F16134" w:rsidRDefault="00F16134" w:rsidP="00F16134">
      <w:pPr>
        <w:rPr>
          <w:b/>
        </w:rPr>
      </w:pPr>
      <w:r w:rsidRPr="00897143">
        <w:rPr>
          <w:b/>
        </w:rPr>
        <w:t>Observat</w:t>
      </w:r>
      <w:r>
        <w:rPr>
          <w:b/>
        </w:rPr>
        <w:t xml:space="preserve">ion 1: L2 relaying designs where end-to-end RLC ARQ is </w:t>
      </w:r>
      <w:r w:rsidRPr="00897143">
        <w:rPr>
          <w:b/>
        </w:rPr>
        <w:t>perform</w:t>
      </w:r>
      <w:r>
        <w:rPr>
          <w:b/>
        </w:rPr>
        <w:t>ed between IAB donor and UE with</w:t>
      </w:r>
      <w:r w:rsidRPr="00897143">
        <w:rPr>
          <w:b/>
        </w:rPr>
        <w:t xml:space="preserve"> a new adaptation layer introduced above the MAC layer may have greater RAN2 specification impact compa</w:t>
      </w:r>
      <w:r>
        <w:rPr>
          <w:b/>
        </w:rPr>
        <w:t xml:space="preserve">red to L2 relaying designs where RLC ARQ is </w:t>
      </w:r>
      <w:r w:rsidRPr="00897143">
        <w:rPr>
          <w:b/>
        </w:rPr>
        <w:t>perform</w:t>
      </w:r>
      <w:r>
        <w:rPr>
          <w:b/>
        </w:rPr>
        <w:t>ed on a hop-by-hop basis with</w:t>
      </w:r>
      <w:r w:rsidRPr="00897143">
        <w:rPr>
          <w:b/>
        </w:rPr>
        <w:t xml:space="preserve"> a new adaptation layer introduced either above the RLC or MAC layer. </w:t>
      </w:r>
    </w:p>
    <w:p w14:paraId="163918A6" w14:textId="77777777" w:rsidR="00F16134" w:rsidRPr="00897143" w:rsidRDefault="00F16134" w:rsidP="00F16134">
      <w:pPr>
        <w:rPr>
          <w:b/>
        </w:rPr>
      </w:pPr>
      <w:r>
        <w:rPr>
          <w:b/>
        </w:rPr>
        <w:t xml:space="preserve">Observation 2: L2 relaying designs where end-to-end RLC ARQ is performed between IAB donor and UE may have greater performance issues, especially with route switching in multi-hop scenarios, compared to L2 relaying designs where RLC ARQ is performed on a hop-by-hop basis. </w:t>
      </w:r>
    </w:p>
    <w:p w14:paraId="00E07BEE" w14:textId="724D1217" w:rsidR="00250675" w:rsidRPr="00B5153D" w:rsidRDefault="00250675" w:rsidP="00250675">
      <w:pPr>
        <w:rPr>
          <w:b/>
        </w:rPr>
      </w:pPr>
      <w:r w:rsidRPr="00B5153D">
        <w:rPr>
          <w:b/>
        </w:rPr>
        <w:t>Proposal 1: RAN2 should consider ab</w:t>
      </w:r>
      <w:r>
        <w:rPr>
          <w:b/>
        </w:rPr>
        <w:t>ove user plane protocol design implications</w:t>
      </w:r>
      <w:r w:rsidR="003748EB">
        <w:rPr>
          <w:b/>
        </w:rPr>
        <w:t xml:space="preserve"> when evaluating</w:t>
      </w:r>
      <w:r w:rsidRPr="00B5153D">
        <w:rPr>
          <w:b/>
        </w:rPr>
        <w:t xml:space="preserve"> different IAB solutions.</w:t>
      </w:r>
    </w:p>
    <w:p w14:paraId="1E265CDE" w14:textId="77777777" w:rsidR="00AA4B8E" w:rsidRPr="00BF3B8F" w:rsidRDefault="00AA4B8E" w:rsidP="000303D7">
      <w:pPr>
        <w:rPr>
          <w:lang w:val="en-GB"/>
        </w:rPr>
      </w:pPr>
    </w:p>
    <w:p w14:paraId="3C099C76" w14:textId="7DA372BD" w:rsidR="00AF2C72" w:rsidRPr="006B13A0" w:rsidRDefault="00AF2C72" w:rsidP="006B13A0">
      <w:pPr>
        <w:pStyle w:val="Heading1"/>
      </w:pPr>
      <w:r>
        <w:t>Reference</w:t>
      </w:r>
    </w:p>
    <w:p w14:paraId="5908A04B" w14:textId="49FCB289" w:rsidR="00195FC3" w:rsidRDefault="0064521D" w:rsidP="00AF2C72">
      <w:pPr>
        <w:pStyle w:val="2222"/>
        <w:numPr>
          <w:ilvl w:val="0"/>
          <w:numId w:val="36"/>
        </w:numPr>
        <w:spacing w:after="120" w:line="288" w:lineRule="auto"/>
        <w:ind w:left="360" w:firstLineChars="0"/>
        <w:jc w:val="left"/>
        <w:rPr>
          <w:rFonts w:cs="Times New Roman"/>
          <w:lang w:eastAsia="ko-KR"/>
        </w:rPr>
      </w:pPr>
      <w:r>
        <w:rPr>
          <w:rFonts w:cs="Times New Roman"/>
          <w:lang w:eastAsia="ko-KR"/>
        </w:rPr>
        <w:t>RP-17</w:t>
      </w:r>
      <w:r w:rsidR="00D25060">
        <w:rPr>
          <w:rFonts w:cs="Times New Roman"/>
          <w:lang w:eastAsia="ko-KR"/>
        </w:rPr>
        <w:t>2290</w:t>
      </w:r>
      <w:r>
        <w:rPr>
          <w:rFonts w:cs="Times New Roman"/>
          <w:lang w:eastAsia="ko-KR"/>
        </w:rPr>
        <w:t>, Study on Integrated Access and Backhaul for NR, AT&amp;T, Qualcomm, Samsung.</w:t>
      </w:r>
    </w:p>
    <w:p w14:paraId="5E026F60" w14:textId="30255DED" w:rsidR="00226F8B" w:rsidRPr="00611A58" w:rsidRDefault="00611A58">
      <w:pPr>
        <w:pStyle w:val="2222"/>
        <w:numPr>
          <w:ilvl w:val="0"/>
          <w:numId w:val="36"/>
        </w:numPr>
        <w:spacing w:after="120" w:line="288" w:lineRule="auto"/>
        <w:ind w:left="360" w:firstLineChars="0"/>
        <w:jc w:val="left"/>
        <w:rPr>
          <w:rFonts w:cs="Times New Roman"/>
          <w:lang w:eastAsia="ko-KR"/>
        </w:rPr>
      </w:pPr>
      <w:r>
        <w:rPr>
          <w:rFonts w:cs="Times New Roman"/>
          <w:lang w:eastAsia="ko-KR"/>
        </w:rPr>
        <w:t>R3-181470</w:t>
      </w:r>
      <w:r w:rsidRPr="00611A58">
        <w:rPr>
          <w:rFonts w:cs="Times New Roman"/>
          <w:lang w:eastAsia="ko-KR"/>
        </w:rPr>
        <w:t xml:space="preserve">, </w:t>
      </w:r>
      <w:r w:rsidRPr="00611A58">
        <w:rPr>
          <w:rFonts w:cs="Times New Roman"/>
        </w:rPr>
        <w:t xml:space="preserve">Way Forward – IAB Architecture for L2/3 relaying, </w:t>
      </w:r>
      <w:r w:rsidRPr="00611A58">
        <w:rPr>
          <w:rFonts w:cs="Times New Roman"/>
          <w:bCs/>
        </w:rPr>
        <w:t>Qualcomm Inc, KDDI, AT&amp;T, Nokia, Nokia Shanghai Bell, Huawei, Ericsson</w:t>
      </w:r>
    </w:p>
    <w:sectPr w:rsidR="00226F8B" w:rsidRPr="00611A58" w:rsidSect="001D737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D93CE" w14:textId="77777777" w:rsidR="00737941" w:rsidRDefault="00737941" w:rsidP="00A03DF3">
      <w:pPr>
        <w:spacing w:after="0"/>
      </w:pPr>
      <w:r>
        <w:separator/>
      </w:r>
    </w:p>
  </w:endnote>
  <w:endnote w:type="continuationSeparator" w:id="0">
    <w:p w14:paraId="76D841D5" w14:textId="77777777" w:rsidR="00737941" w:rsidRDefault="00737941"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B99A8" w14:textId="77777777" w:rsidR="00487D79" w:rsidRDefault="00487D79"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487D79" w:rsidRDefault="00487D79"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52129" w14:textId="19B6C746" w:rsidR="00487D79" w:rsidRDefault="00487D79"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3748E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748EB">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C706C" w14:textId="77777777" w:rsidR="000B3C8E" w:rsidRDefault="000B3C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A06D79" w14:textId="77777777" w:rsidR="00737941" w:rsidRDefault="00737941" w:rsidP="00A03DF3">
      <w:pPr>
        <w:spacing w:after="0"/>
      </w:pPr>
      <w:r>
        <w:separator/>
      </w:r>
    </w:p>
  </w:footnote>
  <w:footnote w:type="continuationSeparator" w:id="0">
    <w:p w14:paraId="7076C64D" w14:textId="77777777" w:rsidR="00737941" w:rsidRDefault="00737941"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F86CE" w14:textId="77777777" w:rsidR="00487D79" w:rsidRDefault="00487D7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D2359" w14:textId="77777777" w:rsidR="000B3C8E" w:rsidRDefault="000B3C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372AA" w14:textId="77777777" w:rsidR="000B3C8E" w:rsidRDefault="000B3C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D4785A"/>
    <w:multiLevelType w:val="hybridMultilevel"/>
    <w:tmpl w:val="B9FC9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0610762"/>
    <w:multiLevelType w:val="hybridMultilevel"/>
    <w:tmpl w:val="2CDEAC28"/>
    <w:lvl w:ilvl="0" w:tplc="AC826AFE">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257A94"/>
    <w:multiLevelType w:val="hybridMultilevel"/>
    <w:tmpl w:val="BA225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830E3D"/>
    <w:multiLevelType w:val="hybridMultilevel"/>
    <w:tmpl w:val="CAB62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817B8D"/>
    <w:multiLevelType w:val="hybridMultilevel"/>
    <w:tmpl w:val="C54A1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5422144"/>
    <w:multiLevelType w:val="hybridMultilevel"/>
    <w:tmpl w:val="D9182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4A86004"/>
    <w:multiLevelType w:val="hybridMultilevel"/>
    <w:tmpl w:val="3D7C4C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A64084"/>
    <w:multiLevelType w:val="hybridMultilevel"/>
    <w:tmpl w:val="E6EED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4143BE"/>
    <w:multiLevelType w:val="hybridMultilevel"/>
    <w:tmpl w:val="25DA7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B962D8"/>
    <w:multiLevelType w:val="hybridMultilevel"/>
    <w:tmpl w:val="84506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CA34303"/>
    <w:multiLevelType w:val="hybridMultilevel"/>
    <w:tmpl w:val="2496D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3D34DE"/>
    <w:multiLevelType w:val="hybridMultilevel"/>
    <w:tmpl w:val="8B34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156EAD"/>
    <w:multiLevelType w:val="hybridMultilevel"/>
    <w:tmpl w:val="E4AAF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F62A1B"/>
    <w:multiLevelType w:val="hybridMultilevel"/>
    <w:tmpl w:val="0DA24BE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2"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6477712"/>
    <w:multiLevelType w:val="hybridMultilevel"/>
    <w:tmpl w:val="84428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8A8493F"/>
    <w:multiLevelType w:val="hybridMultilevel"/>
    <w:tmpl w:val="7C5A00E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8" w15:restartNumberingAfterBreak="0">
    <w:nsid w:val="6DF63E27"/>
    <w:multiLevelType w:val="hybridMultilevel"/>
    <w:tmpl w:val="405ED0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E39562D"/>
    <w:multiLevelType w:val="hybridMultilevel"/>
    <w:tmpl w:val="32B834DE"/>
    <w:lvl w:ilvl="0" w:tplc="AC826AFE">
      <w:start w:val="2"/>
      <w:numFmt w:val="bullet"/>
      <w:lvlText w:val="-"/>
      <w:lvlJc w:val="left"/>
      <w:pPr>
        <w:ind w:left="696" w:hanging="360"/>
      </w:pPr>
      <w:rPr>
        <w:rFonts w:ascii="Times New Roman" w:eastAsia="Malgun Gothic"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start w:val="1"/>
      <w:numFmt w:val="bullet"/>
      <w:lvlText w:val=""/>
      <w:lvlJc w:val="left"/>
      <w:pPr>
        <w:ind w:left="2932" w:hanging="360"/>
      </w:pPr>
      <w:rPr>
        <w:rFonts w:ascii="Symbol" w:hAnsi="Symbol" w:hint="default"/>
      </w:rPr>
    </w:lvl>
    <w:lvl w:ilvl="4" w:tplc="04090003">
      <w:start w:val="1"/>
      <w:numFmt w:val="bullet"/>
      <w:lvlText w:val="o"/>
      <w:lvlJc w:val="left"/>
      <w:pPr>
        <w:ind w:left="3652" w:hanging="360"/>
      </w:pPr>
      <w:rPr>
        <w:rFonts w:ascii="Courier New" w:hAnsi="Courier New" w:cs="Courier New" w:hint="default"/>
      </w:rPr>
    </w:lvl>
    <w:lvl w:ilvl="5" w:tplc="04090005">
      <w:start w:val="1"/>
      <w:numFmt w:val="bullet"/>
      <w:lvlText w:val=""/>
      <w:lvlJc w:val="left"/>
      <w:pPr>
        <w:ind w:left="4372" w:hanging="360"/>
      </w:pPr>
      <w:rPr>
        <w:rFonts w:ascii="Wingdings" w:hAnsi="Wingdings" w:hint="default"/>
      </w:rPr>
    </w:lvl>
    <w:lvl w:ilvl="6" w:tplc="04090001">
      <w:start w:val="1"/>
      <w:numFmt w:val="bullet"/>
      <w:lvlText w:val=""/>
      <w:lvlJc w:val="left"/>
      <w:pPr>
        <w:ind w:left="5092" w:hanging="360"/>
      </w:pPr>
      <w:rPr>
        <w:rFonts w:ascii="Symbol" w:hAnsi="Symbol" w:hint="default"/>
      </w:rPr>
    </w:lvl>
    <w:lvl w:ilvl="7" w:tplc="04090003">
      <w:start w:val="1"/>
      <w:numFmt w:val="bullet"/>
      <w:lvlText w:val="o"/>
      <w:lvlJc w:val="left"/>
      <w:pPr>
        <w:ind w:left="5812" w:hanging="360"/>
      </w:pPr>
      <w:rPr>
        <w:rFonts w:ascii="Courier New" w:hAnsi="Courier New" w:cs="Courier New" w:hint="default"/>
      </w:rPr>
    </w:lvl>
    <w:lvl w:ilvl="8" w:tplc="04090005">
      <w:start w:val="1"/>
      <w:numFmt w:val="bullet"/>
      <w:lvlText w:val=""/>
      <w:lvlJc w:val="left"/>
      <w:pPr>
        <w:ind w:left="6532" w:hanging="360"/>
      </w:pPr>
      <w:rPr>
        <w:rFonts w:ascii="Wingdings" w:hAnsi="Wingdings" w:hint="default"/>
      </w:rPr>
    </w:lvl>
  </w:abstractNum>
  <w:abstractNum w:abstractNumId="40" w15:restartNumberingAfterBreak="0">
    <w:nsid w:val="735F4C75"/>
    <w:multiLevelType w:val="hybridMultilevel"/>
    <w:tmpl w:val="BB1CB1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6B4CA4"/>
    <w:multiLevelType w:val="hybridMultilevel"/>
    <w:tmpl w:val="AA5C3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7665765"/>
    <w:multiLevelType w:val="hybridMultilevel"/>
    <w:tmpl w:val="019AB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BF773BB"/>
    <w:multiLevelType w:val="hybridMultilevel"/>
    <w:tmpl w:val="1E6A1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8"/>
  </w:num>
  <w:num w:numId="4">
    <w:abstractNumId w:val="6"/>
  </w:num>
  <w:num w:numId="5">
    <w:abstractNumId w:val="17"/>
  </w:num>
  <w:num w:numId="6">
    <w:abstractNumId w:val="8"/>
  </w:num>
  <w:num w:numId="7">
    <w:abstractNumId w:val="45"/>
  </w:num>
  <w:num w:numId="8">
    <w:abstractNumId w:val="26"/>
  </w:num>
  <w:num w:numId="9">
    <w:abstractNumId w:val="36"/>
  </w:num>
  <w:num w:numId="10">
    <w:abstractNumId w:val="3"/>
  </w:num>
  <w:num w:numId="11">
    <w:abstractNumId w:val="11"/>
  </w:num>
  <w:num w:numId="12">
    <w:abstractNumId w:val="35"/>
  </w:num>
  <w:num w:numId="13">
    <w:abstractNumId w:val="16"/>
  </w:num>
  <w:num w:numId="14">
    <w:abstractNumId w:val="23"/>
  </w:num>
  <w:num w:numId="15">
    <w:abstractNumId w:val="25"/>
  </w:num>
  <w:num w:numId="16">
    <w:abstractNumId w:val="37"/>
  </w:num>
  <w:num w:numId="17">
    <w:abstractNumId w:val="43"/>
  </w:num>
  <w:num w:numId="18">
    <w:abstractNumId w:val="1"/>
  </w:num>
  <w:num w:numId="19">
    <w:abstractNumId w:val="4"/>
  </w:num>
  <w:num w:numId="20">
    <w:abstractNumId w:val="34"/>
  </w:num>
  <w:num w:numId="21">
    <w:abstractNumId w:val="21"/>
  </w:num>
  <w:num w:numId="22">
    <w:abstractNumId w:val="24"/>
  </w:num>
  <w:num w:numId="23">
    <w:abstractNumId w:val="32"/>
  </w:num>
  <w:num w:numId="24">
    <w:abstractNumId w:val="27"/>
  </w:num>
  <w:num w:numId="25">
    <w:abstractNumId w:val="20"/>
  </w:num>
  <w:num w:numId="26">
    <w:abstractNumId w:val="44"/>
  </w:num>
  <w:num w:numId="27">
    <w:abstractNumId w:val="10"/>
  </w:num>
  <w:num w:numId="28">
    <w:abstractNumId w:val="42"/>
  </w:num>
  <w:num w:numId="29">
    <w:abstractNumId w:val="33"/>
  </w:num>
  <w:num w:numId="30">
    <w:abstractNumId w:val="7"/>
  </w:num>
  <w:num w:numId="31">
    <w:abstractNumId w:val="28"/>
  </w:num>
  <w:num w:numId="32">
    <w:abstractNumId w:val="30"/>
  </w:num>
  <w:num w:numId="33">
    <w:abstractNumId w:val="41"/>
  </w:num>
  <w:num w:numId="34">
    <w:abstractNumId w:val="40"/>
  </w:num>
  <w:num w:numId="35">
    <w:abstractNumId w:val="15"/>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19"/>
  </w:num>
  <w:num w:numId="39">
    <w:abstractNumId w:val="29"/>
  </w:num>
  <w:num w:numId="40">
    <w:abstractNumId w:val="9"/>
  </w:num>
  <w:num w:numId="41">
    <w:abstractNumId w:val="14"/>
  </w:num>
  <w:num w:numId="42">
    <w:abstractNumId w:val="39"/>
  </w:num>
  <w:num w:numId="43">
    <w:abstractNumId w:val="38"/>
  </w:num>
  <w:num w:numId="44">
    <w:abstractNumId w:val="5"/>
  </w:num>
  <w:num w:numId="45">
    <w:abstractNumId w:val="12"/>
  </w:num>
  <w:num w:numId="46">
    <w:abstractNumId w:val="13"/>
  </w:num>
  <w:num w:numId="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595"/>
    <w:rsid w:val="00001FDA"/>
    <w:rsid w:val="00005420"/>
    <w:rsid w:val="00010AD5"/>
    <w:rsid w:val="00011622"/>
    <w:rsid w:val="0001527B"/>
    <w:rsid w:val="00015895"/>
    <w:rsid w:val="000159A3"/>
    <w:rsid w:val="00016C91"/>
    <w:rsid w:val="00027C22"/>
    <w:rsid w:val="00027EBC"/>
    <w:rsid w:val="000303D7"/>
    <w:rsid w:val="00030C32"/>
    <w:rsid w:val="00030F70"/>
    <w:rsid w:val="00033AB4"/>
    <w:rsid w:val="00035544"/>
    <w:rsid w:val="00035EA3"/>
    <w:rsid w:val="00036CD9"/>
    <w:rsid w:val="00043BFA"/>
    <w:rsid w:val="0004589F"/>
    <w:rsid w:val="00045958"/>
    <w:rsid w:val="00045CDA"/>
    <w:rsid w:val="00051B99"/>
    <w:rsid w:val="00066211"/>
    <w:rsid w:val="00066D52"/>
    <w:rsid w:val="0007152D"/>
    <w:rsid w:val="000832B2"/>
    <w:rsid w:val="00090F30"/>
    <w:rsid w:val="00091745"/>
    <w:rsid w:val="00092FC7"/>
    <w:rsid w:val="000935E4"/>
    <w:rsid w:val="000954F9"/>
    <w:rsid w:val="000959FE"/>
    <w:rsid w:val="000A006B"/>
    <w:rsid w:val="000A1C3B"/>
    <w:rsid w:val="000A3623"/>
    <w:rsid w:val="000A3742"/>
    <w:rsid w:val="000A4B9C"/>
    <w:rsid w:val="000A690F"/>
    <w:rsid w:val="000B3C8E"/>
    <w:rsid w:val="000B4387"/>
    <w:rsid w:val="000B5342"/>
    <w:rsid w:val="000C2AB2"/>
    <w:rsid w:val="000C3241"/>
    <w:rsid w:val="000C54D1"/>
    <w:rsid w:val="000C5F30"/>
    <w:rsid w:val="000D0DED"/>
    <w:rsid w:val="000D0F48"/>
    <w:rsid w:val="000D44F3"/>
    <w:rsid w:val="000D7B19"/>
    <w:rsid w:val="000E13E5"/>
    <w:rsid w:val="000E201B"/>
    <w:rsid w:val="000E4677"/>
    <w:rsid w:val="000E7D06"/>
    <w:rsid w:val="000F0E8F"/>
    <w:rsid w:val="000F70D6"/>
    <w:rsid w:val="001001EF"/>
    <w:rsid w:val="001026C3"/>
    <w:rsid w:val="00104F96"/>
    <w:rsid w:val="00105963"/>
    <w:rsid w:val="00107EBD"/>
    <w:rsid w:val="00112054"/>
    <w:rsid w:val="0011294F"/>
    <w:rsid w:val="00112BF4"/>
    <w:rsid w:val="001153C1"/>
    <w:rsid w:val="0011607E"/>
    <w:rsid w:val="00116777"/>
    <w:rsid w:val="00116964"/>
    <w:rsid w:val="001215A0"/>
    <w:rsid w:val="00123BDE"/>
    <w:rsid w:val="001241AA"/>
    <w:rsid w:val="00125BD3"/>
    <w:rsid w:val="001268BD"/>
    <w:rsid w:val="001324C6"/>
    <w:rsid w:val="00134857"/>
    <w:rsid w:val="00134AB1"/>
    <w:rsid w:val="0013723F"/>
    <w:rsid w:val="001372D8"/>
    <w:rsid w:val="001402F1"/>
    <w:rsid w:val="001440C3"/>
    <w:rsid w:val="00144A9B"/>
    <w:rsid w:val="001456CE"/>
    <w:rsid w:val="00146787"/>
    <w:rsid w:val="00147AF1"/>
    <w:rsid w:val="0015086A"/>
    <w:rsid w:val="00150F00"/>
    <w:rsid w:val="00152E02"/>
    <w:rsid w:val="001543A8"/>
    <w:rsid w:val="00157ECF"/>
    <w:rsid w:val="0016463F"/>
    <w:rsid w:val="00170BEA"/>
    <w:rsid w:val="001735CB"/>
    <w:rsid w:val="00175C50"/>
    <w:rsid w:val="001764C0"/>
    <w:rsid w:val="00180BD3"/>
    <w:rsid w:val="00182D46"/>
    <w:rsid w:val="00183B2D"/>
    <w:rsid w:val="00184167"/>
    <w:rsid w:val="001867C5"/>
    <w:rsid w:val="0019306E"/>
    <w:rsid w:val="00195FC3"/>
    <w:rsid w:val="001968DB"/>
    <w:rsid w:val="001974D0"/>
    <w:rsid w:val="001A059E"/>
    <w:rsid w:val="001A0BC6"/>
    <w:rsid w:val="001A73F9"/>
    <w:rsid w:val="001B07D0"/>
    <w:rsid w:val="001B148E"/>
    <w:rsid w:val="001B1ED0"/>
    <w:rsid w:val="001B60A9"/>
    <w:rsid w:val="001B6C4D"/>
    <w:rsid w:val="001C3C25"/>
    <w:rsid w:val="001C5C93"/>
    <w:rsid w:val="001D1411"/>
    <w:rsid w:val="001D4912"/>
    <w:rsid w:val="001D502E"/>
    <w:rsid w:val="001D5464"/>
    <w:rsid w:val="001D7377"/>
    <w:rsid w:val="001E0FE1"/>
    <w:rsid w:val="001E5F58"/>
    <w:rsid w:val="001E7A26"/>
    <w:rsid w:val="001F0EBA"/>
    <w:rsid w:val="002028A8"/>
    <w:rsid w:val="00203AD5"/>
    <w:rsid w:val="00206D78"/>
    <w:rsid w:val="00206DA2"/>
    <w:rsid w:val="0020778E"/>
    <w:rsid w:val="00207CDD"/>
    <w:rsid w:val="0021091C"/>
    <w:rsid w:val="00211B7F"/>
    <w:rsid w:val="00215D87"/>
    <w:rsid w:val="0022049E"/>
    <w:rsid w:val="00220626"/>
    <w:rsid w:val="00221100"/>
    <w:rsid w:val="002215F1"/>
    <w:rsid w:val="0022189F"/>
    <w:rsid w:val="00223388"/>
    <w:rsid w:val="00224D3B"/>
    <w:rsid w:val="00225AA6"/>
    <w:rsid w:val="00226F8B"/>
    <w:rsid w:val="0023027D"/>
    <w:rsid w:val="002329AE"/>
    <w:rsid w:val="002343BE"/>
    <w:rsid w:val="00235F16"/>
    <w:rsid w:val="00235F95"/>
    <w:rsid w:val="00236601"/>
    <w:rsid w:val="00240494"/>
    <w:rsid w:val="00243337"/>
    <w:rsid w:val="00243B4D"/>
    <w:rsid w:val="00245D97"/>
    <w:rsid w:val="00247ECD"/>
    <w:rsid w:val="00250675"/>
    <w:rsid w:val="00250A2F"/>
    <w:rsid w:val="00250CF1"/>
    <w:rsid w:val="00250D87"/>
    <w:rsid w:val="0025103A"/>
    <w:rsid w:val="00251736"/>
    <w:rsid w:val="00251768"/>
    <w:rsid w:val="00252548"/>
    <w:rsid w:val="002525D1"/>
    <w:rsid w:val="00253CE0"/>
    <w:rsid w:val="0025521A"/>
    <w:rsid w:val="002632D5"/>
    <w:rsid w:val="002639F5"/>
    <w:rsid w:val="00264F59"/>
    <w:rsid w:val="0026628D"/>
    <w:rsid w:val="002665E9"/>
    <w:rsid w:val="00270E7D"/>
    <w:rsid w:val="00273449"/>
    <w:rsid w:val="00273B90"/>
    <w:rsid w:val="00276192"/>
    <w:rsid w:val="00276AAD"/>
    <w:rsid w:val="00277131"/>
    <w:rsid w:val="00280D6A"/>
    <w:rsid w:val="00282243"/>
    <w:rsid w:val="00287058"/>
    <w:rsid w:val="002947BA"/>
    <w:rsid w:val="00294E72"/>
    <w:rsid w:val="002A443F"/>
    <w:rsid w:val="002A75CB"/>
    <w:rsid w:val="002B113B"/>
    <w:rsid w:val="002B26F8"/>
    <w:rsid w:val="002B6ADF"/>
    <w:rsid w:val="002C49F0"/>
    <w:rsid w:val="002C68F6"/>
    <w:rsid w:val="002D0E77"/>
    <w:rsid w:val="002D1D49"/>
    <w:rsid w:val="002D52C3"/>
    <w:rsid w:val="002D566F"/>
    <w:rsid w:val="002D6FB7"/>
    <w:rsid w:val="002E026C"/>
    <w:rsid w:val="002E3614"/>
    <w:rsid w:val="002E37DE"/>
    <w:rsid w:val="002F0C46"/>
    <w:rsid w:val="002F1B33"/>
    <w:rsid w:val="002F3FC4"/>
    <w:rsid w:val="00301F11"/>
    <w:rsid w:val="00303721"/>
    <w:rsid w:val="00304012"/>
    <w:rsid w:val="00305BD0"/>
    <w:rsid w:val="0031220B"/>
    <w:rsid w:val="00312297"/>
    <w:rsid w:val="00316619"/>
    <w:rsid w:val="00317DDA"/>
    <w:rsid w:val="00320BD0"/>
    <w:rsid w:val="00320BDF"/>
    <w:rsid w:val="00323D1C"/>
    <w:rsid w:val="003246F3"/>
    <w:rsid w:val="003266DD"/>
    <w:rsid w:val="0033045D"/>
    <w:rsid w:val="00331DD7"/>
    <w:rsid w:val="0033264B"/>
    <w:rsid w:val="00332CC0"/>
    <w:rsid w:val="003336FC"/>
    <w:rsid w:val="003346E4"/>
    <w:rsid w:val="00337899"/>
    <w:rsid w:val="00337FAE"/>
    <w:rsid w:val="00340D03"/>
    <w:rsid w:val="00340E6C"/>
    <w:rsid w:val="0034274F"/>
    <w:rsid w:val="00342B0C"/>
    <w:rsid w:val="00343D0D"/>
    <w:rsid w:val="00346C2C"/>
    <w:rsid w:val="003547D5"/>
    <w:rsid w:val="003572C1"/>
    <w:rsid w:val="00357B90"/>
    <w:rsid w:val="00363E20"/>
    <w:rsid w:val="0036606A"/>
    <w:rsid w:val="0037404F"/>
    <w:rsid w:val="003748EB"/>
    <w:rsid w:val="00374EB9"/>
    <w:rsid w:val="00375AB6"/>
    <w:rsid w:val="00376A4C"/>
    <w:rsid w:val="003778D9"/>
    <w:rsid w:val="00377A07"/>
    <w:rsid w:val="00382B8E"/>
    <w:rsid w:val="00387A55"/>
    <w:rsid w:val="00390188"/>
    <w:rsid w:val="0039198A"/>
    <w:rsid w:val="00393F89"/>
    <w:rsid w:val="0039473D"/>
    <w:rsid w:val="003957DD"/>
    <w:rsid w:val="00395A22"/>
    <w:rsid w:val="003A07EA"/>
    <w:rsid w:val="003A157A"/>
    <w:rsid w:val="003A17F8"/>
    <w:rsid w:val="003A1BE3"/>
    <w:rsid w:val="003A1CDB"/>
    <w:rsid w:val="003A3C47"/>
    <w:rsid w:val="003A6195"/>
    <w:rsid w:val="003A746B"/>
    <w:rsid w:val="003A78B4"/>
    <w:rsid w:val="003A79AA"/>
    <w:rsid w:val="003A79ED"/>
    <w:rsid w:val="003B28E2"/>
    <w:rsid w:val="003B2B3F"/>
    <w:rsid w:val="003B3634"/>
    <w:rsid w:val="003B4545"/>
    <w:rsid w:val="003B5826"/>
    <w:rsid w:val="003B5C49"/>
    <w:rsid w:val="003C04C9"/>
    <w:rsid w:val="003C0E79"/>
    <w:rsid w:val="003C7444"/>
    <w:rsid w:val="003D19EF"/>
    <w:rsid w:val="003D2E6C"/>
    <w:rsid w:val="003D359A"/>
    <w:rsid w:val="003D41DA"/>
    <w:rsid w:val="003D53F0"/>
    <w:rsid w:val="003D6E67"/>
    <w:rsid w:val="003D7039"/>
    <w:rsid w:val="003E3239"/>
    <w:rsid w:val="003E3522"/>
    <w:rsid w:val="003E516B"/>
    <w:rsid w:val="003E6804"/>
    <w:rsid w:val="003E78B6"/>
    <w:rsid w:val="003E7DEE"/>
    <w:rsid w:val="003F18D4"/>
    <w:rsid w:val="003F1A54"/>
    <w:rsid w:val="003F6345"/>
    <w:rsid w:val="003F664D"/>
    <w:rsid w:val="003F6824"/>
    <w:rsid w:val="003F68FF"/>
    <w:rsid w:val="00401CA4"/>
    <w:rsid w:val="00402754"/>
    <w:rsid w:val="00404B2F"/>
    <w:rsid w:val="00404E7A"/>
    <w:rsid w:val="00411B51"/>
    <w:rsid w:val="0041562C"/>
    <w:rsid w:val="00416336"/>
    <w:rsid w:val="00416848"/>
    <w:rsid w:val="0041687B"/>
    <w:rsid w:val="00417010"/>
    <w:rsid w:val="0041753A"/>
    <w:rsid w:val="00420203"/>
    <w:rsid w:val="00420CB9"/>
    <w:rsid w:val="00422C37"/>
    <w:rsid w:val="00422C7F"/>
    <w:rsid w:val="004303F8"/>
    <w:rsid w:val="004340D2"/>
    <w:rsid w:val="004344AE"/>
    <w:rsid w:val="00434EBF"/>
    <w:rsid w:val="004373B3"/>
    <w:rsid w:val="004377F0"/>
    <w:rsid w:val="0044468E"/>
    <w:rsid w:val="004457B1"/>
    <w:rsid w:val="00446B9E"/>
    <w:rsid w:val="00451BA0"/>
    <w:rsid w:val="00460FF1"/>
    <w:rsid w:val="00462337"/>
    <w:rsid w:val="00464EBF"/>
    <w:rsid w:val="004678E8"/>
    <w:rsid w:val="004679EE"/>
    <w:rsid w:val="00470821"/>
    <w:rsid w:val="00474DB0"/>
    <w:rsid w:val="00477A4A"/>
    <w:rsid w:val="00484322"/>
    <w:rsid w:val="00487D79"/>
    <w:rsid w:val="00491CAF"/>
    <w:rsid w:val="00492AF8"/>
    <w:rsid w:val="004934E6"/>
    <w:rsid w:val="0049755C"/>
    <w:rsid w:val="004A361B"/>
    <w:rsid w:val="004A5460"/>
    <w:rsid w:val="004A6EA1"/>
    <w:rsid w:val="004A7A57"/>
    <w:rsid w:val="004B1914"/>
    <w:rsid w:val="004B334F"/>
    <w:rsid w:val="004B53E3"/>
    <w:rsid w:val="004B761C"/>
    <w:rsid w:val="004B7973"/>
    <w:rsid w:val="004C01AE"/>
    <w:rsid w:val="004C157C"/>
    <w:rsid w:val="004C21C6"/>
    <w:rsid w:val="004C5E1C"/>
    <w:rsid w:val="004C6E15"/>
    <w:rsid w:val="004D23C9"/>
    <w:rsid w:val="004D2D73"/>
    <w:rsid w:val="004D4847"/>
    <w:rsid w:val="004E24E6"/>
    <w:rsid w:val="004E2B12"/>
    <w:rsid w:val="004F14EC"/>
    <w:rsid w:val="005005DC"/>
    <w:rsid w:val="00502F81"/>
    <w:rsid w:val="00507616"/>
    <w:rsid w:val="00512C66"/>
    <w:rsid w:val="005132EB"/>
    <w:rsid w:val="00515991"/>
    <w:rsid w:val="00520D3A"/>
    <w:rsid w:val="00523E5C"/>
    <w:rsid w:val="00524196"/>
    <w:rsid w:val="00526E57"/>
    <w:rsid w:val="0052789C"/>
    <w:rsid w:val="00530A7F"/>
    <w:rsid w:val="00534474"/>
    <w:rsid w:val="00542900"/>
    <w:rsid w:val="00546C64"/>
    <w:rsid w:val="00547465"/>
    <w:rsid w:val="00550D62"/>
    <w:rsid w:val="005523E0"/>
    <w:rsid w:val="0055311C"/>
    <w:rsid w:val="0055425E"/>
    <w:rsid w:val="00554916"/>
    <w:rsid w:val="00555971"/>
    <w:rsid w:val="00556937"/>
    <w:rsid w:val="00557E3C"/>
    <w:rsid w:val="00560B0A"/>
    <w:rsid w:val="00566D2E"/>
    <w:rsid w:val="005672AD"/>
    <w:rsid w:val="0056776F"/>
    <w:rsid w:val="00572547"/>
    <w:rsid w:val="005745E3"/>
    <w:rsid w:val="00574896"/>
    <w:rsid w:val="00576219"/>
    <w:rsid w:val="00577765"/>
    <w:rsid w:val="00577EBD"/>
    <w:rsid w:val="00582039"/>
    <w:rsid w:val="00583324"/>
    <w:rsid w:val="00585441"/>
    <w:rsid w:val="0058635D"/>
    <w:rsid w:val="0058748B"/>
    <w:rsid w:val="00591605"/>
    <w:rsid w:val="00594E1F"/>
    <w:rsid w:val="005A13B6"/>
    <w:rsid w:val="005B4A31"/>
    <w:rsid w:val="005C17F4"/>
    <w:rsid w:val="005C1BF7"/>
    <w:rsid w:val="005C1CAB"/>
    <w:rsid w:val="005C2365"/>
    <w:rsid w:val="005C5F6F"/>
    <w:rsid w:val="005C6FED"/>
    <w:rsid w:val="005D4158"/>
    <w:rsid w:val="005D693B"/>
    <w:rsid w:val="005E303C"/>
    <w:rsid w:val="005E394B"/>
    <w:rsid w:val="005E617B"/>
    <w:rsid w:val="005E6E5E"/>
    <w:rsid w:val="005F2BEE"/>
    <w:rsid w:val="005F352C"/>
    <w:rsid w:val="005F49BE"/>
    <w:rsid w:val="005F78B3"/>
    <w:rsid w:val="00611A58"/>
    <w:rsid w:val="006126DD"/>
    <w:rsid w:val="00614A69"/>
    <w:rsid w:val="0061677A"/>
    <w:rsid w:val="00616831"/>
    <w:rsid w:val="00620B9B"/>
    <w:rsid w:val="00622E16"/>
    <w:rsid w:val="00624938"/>
    <w:rsid w:val="00624F5C"/>
    <w:rsid w:val="0062730F"/>
    <w:rsid w:val="0062773D"/>
    <w:rsid w:val="00633588"/>
    <w:rsid w:val="00633A92"/>
    <w:rsid w:val="00636C9C"/>
    <w:rsid w:val="00637208"/>
    <w:rsid w:val="00640FCE"/>
    <w:rsid w:val="00641160"/>
    <w:rsid w:val="00644658"/>
    <w:rsid w:val="0064482B"/>
    <w:rsid w:val="0064521D"/>
    <w:rsid w:val="00647991"/>
    <w:rsid w:val="00647AC9"/>
    <w:rsid w:val="006518D1"/>
    <w:rsid w:val="006520F9"/>
    <w:rsid w:val="00652B6D"/>
    <w:rsid w:val="0065305D"/>
    <w:rsid w:val="00653B6D"/>
    <w:rsid w:val="00655A41"/>
    <w:rsid w:val="00655B30"/>
    <w:rsid w:val="0065608D"/>
    <w:rsid w:val="0066172B"/>
    <w:rsid w:val="006625D4"/>
    <w:rsid w:val="00662774"/>
    <w:rsid w:val="00670DC9"/>
    <w:rsid w:val="0067232E"/>
    <w:rsid w:val="006740BC"/>
    <w:rsid w:val="00676C08"/>
    <w:rsid w:val="006774EA"/>
    <w:rsid w:val="00682E8A"/>
    <w:rsid w:val="00683F52"/>
    <w:rsid w:val="00684402"/>
    <w:rsid w:val="00690ECB"/>
    <w:rsid w:val="00692A94"/>
    <w:rsid w:val="006931F2"/>
    <w:rsid w:val="0069347B"/>
    <w:rsid w:val="00697235"/>
    <w:rsid w:val="00697CB2"/>
    <w:rsid w:val="006A6012"/>
    <w:rsid w:val="006B13A0"/>
    <w:rsid w:val="006B20AF"/>
    <w:rsid w:val="006C4E28"/>
    <w:rsid w:val="006C7F70"/>
    <w:rsid w:val="006D06BF"/>
    <w:rsid w:val="006D4F51"/>
    <w:rsid w:val="006D71C6"/>
    <w:rsid w:val="006E3876"/>
    <w:rsid w:val="006E49A9"/>
    <w:rsid w:val="006E5D2D"/>
    <w:rsid w:val="006F1AB8"/>
    <w:rsid w:val="006F1DB7"/>
    <w:rsid w:val="006F67B2"/>
    <w:rsid w:val="006F7C39"/>
    <w:rsid w:val="00700F24"/>
    <w:rsid w:val="00701722"/>
    <w:rsid w:val="00701AC6"/>
    <w:rsid w:val="00701D4D"/>
    <w:rsid w:val="007038C7"/>
    <w:rsid w:val="0071017C"/>
    <w:rsid w:val="007133C3"/>
    <w:rsid w:val="007150AB"/>
    <w:rsid w:val="00721AED"/>
    <w:rsid w:val="007220D3"/>
    <w:rsid w:val="007224EE"/>
    <w:rsid w:val="00723119"/>
    <w:rsid w:val="00724A2A"/>
    <w:rsid w:val="00726A03"/>
    <w:rsid w:val="007314F6"/>
    <w:rsid w:val="007354D0"/>
    <w:rsid w:val="007363D1"/>
    <w:rsid w:val="00737941"/>
    <w:rsid w:val="00737AE7"/>
    <w:rsid w:val="00744101"/>
    <w:rsid w:val="007450E7"/>
    <w:rsid w:val="007523CE"/>
    <w:rsid w:val="007527B6"/>
    <w:rsid w:val="00756B03"/>
    <w:rsid w:val="007609D8"/>
    <w:rsid w:val="0076148F"/>
    <w:rsid w:val="00761948"/>
    <w:rsid w:val="0076369B"/>
    <w:rsid w:val="007646E8"/>
    <w:rsid w:val="0076536B"/>
    <w:rsid w:val="00765500"/>
    <w:rsid w:val="00767F04"/>
    <w:rsid w:val="007712A1"/>
    <w:rsid w:val="00775052"/>
    <w:rsid w:val="0077540B"/>
    <w:rsid w:val="007759B8"/>
    <w:rsid w:val="00775CDB"/>
    <w:rsid w:val="00777489"/>
    <w:rsid w:val="00777ECD"/>
    <w:rsid w:val="00780F90"/>
    <w:rsid w:val="00782137"/>
    <w:rsid w:val="00782F4C"/>
    <w:rsid w:val="007842E3"/>
    <w:rsid w:val="007854CB"/>
    <w:rsid w:val="00785FC0"/>
    <w:rsid w:val="00787355"/>
    <w:rsid w:val="00787DC9"/>
    <w:rsid w:val="007933F1"/>
    <w:rsid w:val="00794BEE"/>
    <w:rsid w:val="00795488"/>
    <w:rsid w:val="00795D96"/>
    <w:rsid w:val="007A4702"/>
    <w:rsid w:val="007A5533"/>
    <w:rsid w:val="007A5A73"/>
    <w:rsid w:val="007B0698"/>
    <w:rsid w:val="007B1EF8"/>
    <w:rsid w:val="007B3085"/>
    <w:rsid w:val="007B3DE9"/>
    <w:rsid w:val="007B4487"/>
    <w:rsid w:val="007B4D4F"/>
    <w:rsid w:val="007B4F78"/>
    <w:rsid w:val="007B6396"/>
    <w:rsid w:val="007B6A8C"/>
    <w:rsid w:val="007B6F7A"/>
    <w:rsid w:val="007B777E"/>
    <w:rsid w:val="007C02F6"/>
    <w:rsid w:val="007C3145"/>
    <w:rsid w:val="007C3B30"/>
    <w:rsid w:val="007D025A"/>
    <w:rsid w:val="007D37A6"/>
    <w:rsid w:val="007D4364"/>
    <w:rsid w:val="007D4A70"/>
    <w:rsid w:val="007D4EF8"/>
    <w:rsid w:val="007D6BED"/>
    <w:rsid w:val="007E1361"/>
    <w:rsid w:val="007E3019"/>
    <w:rsid w:val="007E31D6"/>
    <w:rsid w:val="007E403A"/>
    <w:rsid w:val="007E466A"/>
    <w:rsid w:val="007E5121"/>
    <w:rsid w:val="007E5AFA"/>
    <w:rsid w:val="007E67DA"/>
    <w:rsid w:val="007E698A"/>
    <w:rsid w:val="007F08CC"/>
    <w:rsid w:val="007F1518"/>
    <w:rsid w:val="007F622A"/>
    <w:rsid w:val="00805CD7"/>
    <w:rsid w:val="00806F34"/>
    <w:rsid w:val="00811A50"/>
    <w:rsid w:val="008124BF"/>
    <w:rsid w:val="008169EA"/>
    <w:rsid w:val="00816FB9"/>
    <w:rsid w:val="00817943"/>
    <w:rsid w:val="008236D0"/>
    <w:rsid w:val="008255CA"/>
    <w:rsid w:val="00825EC8"/>
    <w:rsid w:val="00827431"/>
    <w:rsid w:val="008307E3"/>
    <w:rsid w:val="00832D6D"/>
    <w:rsid w:val="00835340"/>
    <w:rsid w:val="00840100"/>
    <w:rsid w:val="00841D9F"/>
    <w:rsid w:val="00842CAE"/>
    <w:rsid w:val="00846200"/>
    <w:rsid w:val="00847215"/>
    <w:rsid w:val="0085091F"/>
    <w:rsid w:val="00853B77"/>
    <w:rsid w:val="008568A6"/>
    <w:rsid w:val="0086141D"/>
    <w:rsid w:val="008640DB"/>
    <w:rsid w:val="008645B9"/>
    <w:rsid w:val="0087094D"/>
    <w:rsid w:val="00870B70"/>
    <w:rsid w:val="00872C91"/>
    <w:rsid w:val="00874247"/>
    <w:rsid w:val="0088025E"/>
    <w:rsid w:val="0088342F"/>
    <w:rsid w:val="00884757"/>
    <w:rsid w:val="008866D5"/>
    <w:rsid w:val="00886C69"/>
    <w:rsid w:val="00886FAA"/>
    <w:rsid w:val="00896357"/>
    <w:rsid w:val="00896ED9"/>
    <w:rsid w:val="00897143"/>
    <w:rsid w:val="008A0593"/>
    <w:rsid w:val="008A1B5D"/>
    <w:rsid w:val="008A47E4"/>
    <w:rsid w:val="008A5CC4"/>
    <w:rsid w:val="008A7C64"/>
    <w:rsid w:val="008B2785"/>
    <w:rsid w:val="008B3683"/>
    <w:rsid w:val="008B4956"/>
    <w:rsid w:val="008C3161"/>
    <w:rsid w:val="008C7323"/>
    <w:rsid w:val="008D04DC"/>
    <w:rsid w:val="008D098B"/>
    <w:rsid w:val="008D2A8E"/>
    <w:rsid w:val="008D3301"/>
    <w:rsid w:val="008D5128"/>
    <w:rsid w:val="008E0C3B"/>
    <w:rsid w:val="008E1849"/>
    <w:rsid w:val="008E332B"/>
    <w:rsid w:val="008E4630"/>
    <w:rsid w:val="008E4A25"/>
    <w:rsid w:val="008E5AEC"/>
    <w:rsid w:val="008E6C81"/>
    <w:rsid w:val="008F1068"/>
    <w:rsid w:val="008F4B86"/>
    <w:rsid w:val="00901CEB"/>
    <w:rsid w:val="009031D6"/>
    <w:rsid w:val="009060A4"/>
    <w:rsid w:val="00906F42"/>
    <w:rsid w:val="00907FBE"/>
    <w:rsid w:val="00913445"/>
    <w:rsid w:val="009153CC"/>
    <w:rsid w:val="0092002C"/>
    <w:rsid w:val="00920EB9"/>
    <w:rsid w:val="00922DB8"/>
    <w:rsid w:val="00922FFE"/>
    <w:rsid w:val="0093256C"/>
    <w:rsid w:val="00932A0E"/>
    <w:rsid w:val="00932E94"/>
    <w:rsid w:val="00935907"/>
    <w:rsid w:val="0093628F"/>
    <w:rsid w:val="00936573"/>
    <w:rsid w:val="00940F70"/>
    <w:rsid w:val="00946F5B"/>
    <w:rsid w:val="009504F2"/>
    <w:rsid w:val="00952338"/>
    <w:rsid w:val="0095273F"/>
    <w:rsid w:val="009535EE"/>
    <w:rsid w:val="00955118"/>
    <w:rsid w:val="00956E72"/>
    <w:rsid w:val="00957370"/>
    <w:rsid w:val="00961690"/>
    <w:rsid w:val="0097289C"/>
    <w:rsid w:val="009739C0"/>
    <w:rsid w:val="00982817"/>
    <w:rsid w:val="00983362"/>
    <w:rsid w:val="009854DF"/>
    <w:rsid w:val="009867D6"/>
    <w:rsid w:val="00986E49"/>
    <w:rsid w:val="00990685"/>
    <w:rsid w:val="00990A43"/>
    <w:rsid w:val="00995EC7"/>
    <w:rsid w:val="00997526"/>
    <w:rsid w:val="009A0E1B"/>
    <w:rsid w:val="009A2943"/>
    <w:rsid w:val="009A3908"/>
    <w:rsid w:val="009A5761"/>
    <w:rsid w:val="009A5C07"/>
    <w:rsid w:val="009B0E57"/>
    <w:rsid w:val="009B34F4"/>
    <w:rsid w:val="009B3ABB"/>
    <w:rsid w:val="009B3CC5"/>
    <w:rsid w:val="009B63FE"/>
    <w:rsid w:val="009B6715"/>
    <w:rsid w:val="009C4798"/>
    <w:rsid w:val="009C7667"/>
    <w:rsid w:val="009C7C90"/>
    <w:rsid w:val="009D3945"/>
    <w:rsid w:val="009D3D65"/>
    <w:rsid w:val="009E04BB"/>
    <w:rsid w:val="009E3171"/>
    <w:rsid w:val="009E6668"/>
    <w:rsid w:val="009E7909"/>
    <w:rsid w:val="009F225B"/>
    <w:rsid w:val="009F4239"/>
    <w:rsid w:val="009F6A8B"/>
    <w:rsid w:val="00A0043A"/>
    <w:rsid w:val="00A03B18"/>
    <w:rsid w:val="00A03DF3"/>
    <w:rsid w:val="00A04D00"/>
    <w:rsid w:val="00A126DF"/>
    <w:rsid w:val="00A17E1C"/>
    <w:rsid w:val="00A22287"/>
    <w:rsid w:val="00A24FFD"/>
    <w:rsid w:val="00A27BFE"/>
    <w:rsid w:val="00A35A20"/>
    <w:rsid w:val="00A36F7A"/>
    <w:rsid w:val="00A40933"/>
    <w:rsid w:val="00A411BA"/>
    <w:rsid w:val="00A42970"/>
    <w:rsid w:val="00A442F2"/>
    <w:rsid w:val="00A44E2F"/>
    <w:rsid w:val="00A45CAD"/>
    <w:rsid w:val="00A462B3"/>
    <w:rsid w:val="00A46AA0"/>
    <w:rsid w:val="00A57130"/>
    <w:rsid w:val="00A57378"/>
    <w:rsid w:val="00A605AD"/>
    <w:rsid w:val="00A62AF6"/>
    <w:rsid w:val="00A62EBB"/>
    <w:rsid w:val="00A63066"/>
    <w:rsid w:val="00A63D5B"/>
    <w:rsid w:val="00A63F79"/>
    <w:rsid w:val="00A64200"/>
    <w:rsid w:val="00A65BAB"/>
    <w:rsid w:val="00A706A9"/>
    <w:rsid w:val="00A75D64"/>
    <w:rsid w:val="00A77589"/>
    <w:rsid w:val="00A7768F"/>
    <w:rsid w:val="00A82F9A"/>
    <w:rsid w:val="00A94718"/>
    <w:rsid w:val="00A96350"/>
    <w:rsid w:val="00AA02EB"/>
    <w:rsid w:val="00AA3049"/>
    <w:rsid w:val="00AA4B8E"/>
    <w:rsid w:val="00AA5ED1"/>
    <w:rsid w:val="00AA7889"/>
    <w:rsid w:val="00AA7B2F"/>
    <w:rsid w:val="00AB06E7"/>
    <w:rsid w:val="00AB2709"/>
    <w:rsid w:val="00AB397A"/>
    <w:rsid w:val="00AB595D"/>
    <w:rsid w:val="00AB67F7"/>
    <w:rsid w:val="00AC2C80"/>
    <w:rsid w:val="00AC7E9D"/>
    <w:rsid w:val="00AD46D6"/>
    <w:rsid w:val="00AD476B"/>
    <w:rsid w:val="00AD4E2E"/>
    <w:rsid w:val="00AE1C31"/>
    <w:rsid w:val="00AE2549"/>
    <w:rsid w:val="00AE2B5E"/>
    <w:rsid w:val="00AE5E33"/>
    <w:rsid w:val="00AE5F35"/>
    <w:rsid w:val="00AE6679"/>
    <w:rsid w:val="00AE7311"/>
    <w:rsid w:val="00AE7D6E"/>
    <w:rsid w:val="00AF2C72"/>
    <w:rsid w:val="00AF32DD"/>
    <w:rsid w:val="00AF4C33"/>
    <w:rsid w:val="00AF4E20"/>
    <w:rsid w:val="00B0220C"/>
    <w:rsid w:val="00B10448"/>
    <w:rsid w:val="00B11AAC"/>
    <w:rsid w:val="00B11FEC"/>
    <w:rsid w:val="00B1573B"/>
    <w:rsid w:val="00B15EE5"/>
    <w:rsid w:val="00B161CA"/>
    <w:rsid w:val="00B16D19"/>
    <w:rsid w:val="00B17D90"/>
    <w:rsid w:val="00B208AD"/>
    <w:rsid w:val="00B21435"/>
    <w:rsid w:val="00B25548"/>
    <w:rsid w:val="00B2760E"/>
    <w:rsid w:val="00B27AF1"/>
    <w:rsid w:val="00B342FC"/>
    <w:rsid w:val="00B34E93"/>
    <w:rsid w:val="00B35115"/>
    <w:rsid w:val="00B35D09"/>
    <w:rsid w:val="00B4399E"/>
    <w:rsid w:val="00B43D45"/>
    <w:rsid w:val="00B50B55"/>
    <w:rsid w:val="00B50BAC"/>
    <w:rsid w:val="00B5153D"/>
    <w:rsid w:val="00B51D37"/>
    <w:rsid w:val="00B52858"/>
    <w:rsid w:val="00B52CA9"/>
    <w:rsid w:val="00B54124"/>
    <w:rsid w:val="00B56C15"/>
    <w:rsid w:val="00B625A0"/>
    <w:rsid w:val="00B635F9"/>
    <w:rsid w:val="00B64959"/>
    <w:rsid w:val="00B66C83"/>
    <w:rsid w:val="00B7005D"/>
    <w:rsid w:val="00B70289"/>
    <w:rsid w:val="00B70845"/>
    <w:rsid w:val="00B71769"/>
    <w:rsid w:val="00B75BAE"/>
    <w:rsid w:val="00B8083F"/>
    <w:rsid w:val="00B84308"/>
    <w:rsid w:val="00B86C48"/>
    <w:rsid w:val="00B86D5E"/>
    <w:rsid w:val="00B86DDF"/>
    <w:rsid w:val="00B92C1A"/>
    <w:rsid w:val="00B9328C"/>
    <w:rsid w:val="00B940DF"/>
    <w:rsid w:val="00B973D0"/>
    <w:rsid w:val="00BA6439"/>
    <w:rsid w:val="00BB7132"/>
    <w:rsid w:val="00BC2552"/>
    <w:rsid w:val="00BC622B"/>
    <w:rsid w:val="00BC6517"/>
    <w:rsid w:val="00BC66E7"/>
    <w:rsid w:val="00BC7F02"/>
    <w:rsid w:val="00BD2690"/>
    <w:rsid w:val="00BD5423"/>
    <w:rsid w:val="00BE0B73"/>
    <w:rsid w:val="00BE119E"/>
    <w:rsid w:val="00BE2BF0"/>
    <w:rsid w:val="00BE3275"/>
    <w:rsid w:val="00BE4FED"/>
    <w:rsid w:val="00BE540A"/>
    <w:rsid w:val="00BF3706"/>
    <w:rsid w:val="00BF3B8F"/>
    <w:rsid w:val="00BF3D2F"/>
    <w:rsid w:val="00C0337D"/>
    <w:rsid w:val="00C03938"/>
    <w:rsid w:val="00C03AC6"/>
    <w:rsid w:val="00C041A2"/>
    <w:rsid w:val="00C10662"/>
    <w:rsid w:val="00C13584"/>
    <w:rsid w:val="00C13C76"/>
    <w:rsid w:val="00C1412D"/>
    <w:rsid w:val="00C15431"/>
    <w:rsid w:val="00C20564"/>
    <w:rsid w:val="00C22111"/>
    <w:rsid w:val="00C23C35"/>
    <w:rsid w:val="00C24250"/>
    <w:rsid w:val="00C2535E"/>
    <w:rsid w:val="00C26211"/>
    <w:rsid w:val="00C26A7D"/>
    <w:rsid w:val="00C26EEA"/>
    <w:rsid w:val="00C30AC5"/>
    <w:rsid w:val="00C31268"/>
    <w:rsid w:val="00C32ABF"/>
    <w:rsid w:val="00C32E9D"/>
    <w:rsid w:val="00C3611F"/>
    <w:rsid w:val="00C366CB"/>
    <w:rsid w:val="00C414EE"/>
    <w:rsid w:val="00C50D06"/>
    <w:rsid w:val="00C50F1D"/>
    <w:rsid w:val="00C528CF"/>
    <w:rsid w:val="00C532A5"/>
    <w:rsid w:val="00C542D0"/>
    <w:rsid w:val="00C609A1"/>
    <w:rsid w:val="00C61851"/>
    <w:rsid w:val="00C63851"/>
    <w:rsid w:val="00C63E31"/>
    <w:rsid w:val="00C66201"/>
    <w:rsid w:val="00C74074"/>
    <w:rsid w:val="00C749EF"/>
    <w:rsid w:val="00C76A03"/>
    <w:rsid w:val="00C7787C"/>
    <w:rsid w:val="00C8028F"/>
    <w:rsid w:val="00C815AD"/>
    <w:rsid w:val="00C82538"/>
    <w:rsid w:val="00C85E94"/>
    <w:rsid w:val="00C871CD"/>
    <w:rsid w:val="00C90121"/>
    <w:rsid w:val="00C92614"/>
    <w:rsid w:val="00C939F2"/>
    <w:rsid w:val="00CA3E7B"/>
    <w:rsid w:val="00CA6F59"/>
    <w:rsid w:val="00CB03E0"/>
    <w:rsid w:val="00CB23CE"/>
    <w:rsid w:val="00CB2E0F"/>
    <w:rsid w:val="00CB5708"/>
    <w:rsid w:val="00CB5975"/>
    <w:rsid w:val="00CB5E6A"/>
    <w:rsid w:val="00CB6157"/>
    <w:rsid w:val="00CB61BB"/>
    <w:rsid w:val="00CC064F"/>
    <w:rsid w:val="00CC08B7"/>
    <w:rsid w:val="00CC2B86"/>
    <w:rsid w:val="00CC37A0"/>
    <w:rsid w:val="00CC43DA"/>
    <w:rsid w:val="00CC4B9E"/>
    <w:rsid w:val="00CD2E61"/>
    <w:rsid w:val="00CD4BDE"/>
    <w:rsid w:val="00CD79AE"/>
    <w:rsid w:val="00CD7E91"/>
    <w:rsid w:val="00CE0576"/>
    <w:rsid w:val="00CE5D77"/>
    <w:rsid w:val="00CF0066"/>
    <w:rsid w:val="00CF010A"/>
    <w:rsid w:val="00CF1C52"/>
    <w:rsid w:val="00CF2D90"/>
    <w:rsid w:val="00CF3E9E"/>
    <w:rsid w:val="00CF51E5"/>
    <w:rsid w:val="00D01615"/>
    <w:rsid w:val="00D07A78"/>
    <w:rsid w:val="00D1087A"/>
    <w:rsid w:val="00D112AD"/>
    <w:rsid w:val="00D11AD9"/>
    <w:rsid w:val="00D11E75"/>
    <w:rsid w:val="00D21F62"/>
    <w:rsid w:val="00D25060"/>
    <w:rsid w:val="00D25618"/>
    <w:rsid w:val="00D2655C"/>
    <w:rsid w:val="00D30559"/>
    <w:rsid w:val="00D319AA"/>
    <w:rsid w:val="00D32790"/>
    <w:rsid w:val="00D4112D"/>
    <w:rsid w:val="00D42A35"/>
    <w:rsid w:val="00D42EA8"/>
    <w:rsid w:val="00D43FA6"/>
    <w:rsid w:val="00D44176"/>
    <w:rsid w:val="00D45806"/>
    <w:rsid w:val="00D4624A"/>
    <w:rsid w:val="00D50179"/>
    <w:rsid w:val="00D52BF3"/>
    <w:rsid w:val="00D53550"/>
    <w:rsid w:val="00D53C2F"/>
    <w:rsid w:val="00D557A1"/>
    <w:rsid w:val="00D56CE1"/>
    <w:rsid w:val="00D6196D"/>
    <w:rsid w:val="00D62193"/>
    <w:rsid w:val="00D670B6"/>
    <w:rsid w:val="00D672CA"/>
    <w:rsid w:val="00D679A2"/>
    <w:rsid w:val="00D70BDF"/>
    <w:rsid w:val="00D730DD"/>
    <w:rsid w:val="00D753BC"/>
    <w:rsid w:val="00D757D5"/>
    <w:rsid w:val="00D773F5"/>
    <w:rsid w:val="00D844CD"/>
    <w:rsid w:val="00D86C0A"/>
    <w:rsid w:val="00D86CDE"/>
    <w:rsid w:val="00D91B82"/>
    <w:rsid w:val="00D923F2"/>
    <w:rsid w:val="00DA1B9A"/>
    <w:rsid w:val="00DA53F3"/>
    <w:rsid w:val="00DA60BB"/>
    <w:rsid w:val="00DA7B6D"/>
    <w:rsid w:val="00DB2528"/>
    <w:rsid w:val="00DB32D0"/>
    <w:rsid w:val="00DB7753"/>
    <w:rsid w:val="00DC5457"/>
    <w:rsid w:val="00DC69F1"/>
    <w:rsid w:val="00DE0754"/>
    <w:rsid w:val="00DE093B"/>
    <w:rsid w:val="00DE0A17"/>
    <w:rsid w:val="00DE1D60"/>
    <w:rsid w:val="00DE4BE7"/>
    <w:rsid w:val="00DE5572"/>
    <w:rsid w:val="00DE796D"/>
    <w:rsid w:val="00DF364B"/>
    <w:rsid w:val="00E030D4"/>
    <w:rsid w:val="00E03787"/>
    <w:rsid w:val="00E057EC"/>
    <w:rsid w:val="00E05BED"/>
    <w:rsid w:val="00E07DBF"/>
    <w:rsid w:val="00E116C9"/>
    <w:rsid w:val="00E1405C"/>
    <w:rsid w:val="00E15D40"/>
    <w:rsid w:val="00E1663F"/>
    <w:rsid w:val="00E16740"/>
    <w:rsid w:val="00E228F6"/>
    <w:rsid w:val="00E23345"/>
    <w:rsid w:val="00E278E8"/>
    <w:rsid w:val="00E30F1A"/>
    <w:rsid w:val="00E332EB"/>
    <w:rsid w:val="00E33EF2"/>
    <w:rsid w:val="00E372EA"/>
    <w:rsid w:val="00E42515"/>
    <w:rsid w:val="00E44770"/>
    <w:rsid w:val="00E513A1"/>
    <w:rsid w:val="00E522FE"/>
    <w:rsid w:val="00E543B1"/>
    <w:rsid w:val="00E57FF6"/>
    <w:rsid w:val="00E6533C"/>
    <w:rsid w:val="00E6667E"/>
    <w:rsid w:val="00E72CE0"/>
    <w:rsid w:val="00E77A0D"/>
    <w:rsid w:val="00E77AC4"/>
    <w:rsid w:val="00E77F83"/>
    <w:rsid w:val="00E80422"/>
    <w:rsid w:val="00E8069D"/>
    <w:rsid w:val="00E82924"/>
    <w:rsid w:val="00E83A3A"/>
    <w:rsid w:val="00E857F7"/>
    <w:rsid w:val="00E85983"/>
    <w:rsid w:val="00E9695C"/>
    <w:rsid w:val="00E9755B"/>
    <w:rsid w:val="00EA061A"/>
    <w:rsid w:val="00EA4F7C"/>
    <w:rsid w:val="00EB0397"/>
    <w:rsid w:val="00EB36AE"/>
    <w:rsid w:val="00EB3933"/>
    <w:rsid w:val="00EB3C1A"/>
    <w:rsid w:val="00EB3E74"/>
    <w:rsid w:val="00EB6001"/>
    <w:rsid w:val="00EB6F52"/>
    <w:rsid w:val="00EC0809"/>
    <w:rsid w:val="00EC3BD4"/>
    <w:rsid w:val="00EC4C97"/>
    <w:rsid w:val="00EC4E5C"/>
    <w:rsid w:val="00EC795E"/>
    <w:rsid w:val="00ED0713"/>
    <w:rsid w:val="00ED0E87"/>
    <w:rsid w:val="00ED75DE"/>
    <w:rsid w:val="00ED7BDC"/>
    <w:rsid w:val="00ED7F87"/>
    <w:rsid w:val="00EE3605"/>
    <w:rsid w:val="00EE69AF"/>
    <w:rsid w:val="00EE6EFD"/>
    <w:rsid w:val="00EE70BB"/>
    <w:rsid w:val="00EF1A68"/>
    <w:rsid w:val="00EF3B5D"/>
    <w:rsid w:val="00EF403E"/>
    <w:rsid w:val="00EF4AB2"/>
    <w:rsid w:val="00EF6701"/>
    <w:rsid w:val="00F0075E"/>
    <w:rsid w:val="00F032FE"/>
    <w:rsid w:val="00F03394"/>
    <w:rsid w:val="00F1194D"/>
    <w:rsid w:val="00F120E1"/>
    <w:rsid w:val="00F13188"/>
    <w:rsid w:val="00F13661"/>
    <w:rsid w:val="00F14D2B"/>
    <w:rsid w:val="00F15B55"/>
    <w:rsid w:val="00F16067"/>
    <w:rsid w:val="00F16134"/>
    <w:rsid w:val="00F176BB"/>
    <w:rsid w:val="00F2362D"/>
    <w:rsid w:val="00F23797"/>
    <w:rsid w:val="00F249A4"/>
    <w:rsid w:val="00F307ED"/>
    <w:rsid w:val="00F31548"/>
    <w:rsid w:val="00F33E4A"/>
    <w:rsid w:val="00F35B9A"/>
    <w:rsid w:val="00F35C83"/>
    <w:rsid w:val="00F420E7"/>
    <w:rsid w:val="00F42D8E"/>
    <w:rsid w:val="00F46DA6"/>
    <w:rsid w:val="00F51112"/>
    <w:rsid w:val="00F53F7C"/>
    <w:rsid w:val="00F558E7"/>
    <w:rsid w:val="00F62D70"/>
    <w:rsid w:val="00F66B33"/>
    <w:rsid w:val="00F670FA"/>
    <w:rsid w:val="00F67A74"/>
    <w:rsid w:val="00F71D1D"/>
    <w:rsid w:val="00F77945"/>
    <w:rsid w:val="00F8398C"/>
    <w:rsid w:val="00F85A4F"/>
    <w:rsid w:val="00F873FA"/>
    <w:rsid w:val="00F9037A"/>
    <w:rsid w:val="00F91EE0"/>
    <w:rsid w:val="00F92065"/>
    <w:rsid w:val="00F928B9"/>
    <w:rsid w:val="00F93A5B"/>
    <w:rsid w:val="00F93AB4"/>
    <w:rsid w:val="00F93C84"/>
    <w:rsid w:val="00FA0325"/>
    <w:rsid w:val="00FA3B6B"/>
    <w:rsid w:val="00FA6C31"/>
    <w:rsid w:val="00FB0A2A"/>
    <w:rsid w:val="00FB10A8"/>
    <w:rsid w:val="00FB1B76"/>
    <w:rsid w:val="00FB1D13"/>
    <w:rsid w:val="00FB2656"/>
    <w:rsid w:val="00FB3296"/>
    <w:rsid w:val="00FB3504"/>
    <w:rsid w:val="00FB5080"/>
    <w:rsid w:val="00FB718D"/>
    <w:rsid w:val="00FC2F10"/>
    <w:rsid w:val="00FC3090"/>
    <w:rsid w:val="00FC3430"/>
    <w:rsid w:val="00FC5AE2"/>
    <w:rsid w:val="00FC7899"/>
    <w:rsid w:val="00FD5CB6"/>
    <w:rsid w:val="00FD6E38"/>
    <w:rsid w:val="00FE5061"/>
    <w:rsid w:val="00FF1A08"/>
    <w:rsid w:val="00FF3CC7"/>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styleId="Revision">
    <w:name w:val="Revision"/>
    <w:hidden/>
    <w:uiPriority w:val="99"/>
    <w:semiHidden/>
    <w:rsid w:val="00DC5457"/>
    <w:pPr>
      <w:spacing w:after="0" w:line="240" w:lineRule="auto"/>
    </w:pPr>
    <w:rPr>
      <w:rFonts w:eastAsia="SimSun" w:cs="Times New Roman"/>
      <w:szCs w:val="20"/>
    </w:rPr>
  </w:style>
  <w:style w:type="paragraph" w:customStyle="1" w:styleId="EW">
    <w:name w:val="EW"/>
    <w:basedOn w:val="Normal"/>
    <w:rsid w:val="00EB6001"/>
    <w:pPr>
      <w:keepLines/>
      <w:overflowPunct/>
      <w:autoSpaceDE/>
      <w:autoSpaceDN/>
      <w:adjustRightInd/>
      <w:spacing w:after="0"/>
      <w:ind w:left="1702" w:hanging="1418"/>
      <w:textAlignment w:val="auto"/>
    </w:pPr>
    <w:rPr>
      <w:rFonts w:ascii="Times New Roman" w:eastAsia="Malgun Gothic"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21859262">
      <w:bodyDiv w:val="1"/>
      <w:marLeft w:val="0"/>
      <w:marRight w:val="0"/>
      <w:marTop w:val="0"/>
      <w:marBottom w:val="0"/>
      <w:divBdr>
        <w:top w:val="none" w:sz="0" w:space="0" w:color="auto"/>
        <w:left w:val="none" w:sz="0" w:space="0" w:color="auto"/>
        <w:bottom w:val="none" w:sz="0" w:space="0" w:color="auto"/>
        <w:right w:val="none" w:sz="0" w:space="0" w:color="auto"/>
      </w:divBdr>
    </w:div>
    <w:div w:id="1026564414">
      <w:bodyDiv w:val="1"/>
      <w:marLeft w:val="0"/>
      <w:marRight w:val="0"/>
      <w:marTop w:val="0"/>
      <w:marBottom w:val="0"/>
      <w:divBdr>
        <w:top w:val="none" w:sz="0" w:space="0" w:color="auto"/>
        <w:left w:val="none" w:sz="0" w:space="0" w:color="auto"/>
        <w:bottom w:val="none" w:sz="0" w:space="0" w:color="auto"/>
        <w:right w:val="none" w:sz="0" w:space="0" w:color="auto"/>
      </w:divBdr>
    </w:div>
    <w:div w:id="1340691715">
      <w:bodyDiv w:val="1"/>
      <w:marLeft w:val="0"/>
      <w:marRight w:val="0"/>
      <w:marTop w:val="0"/>
      <w:marBottom w:val="0"/>
      <w:divBdr>
        <w:top w:val="none" w:sz="0" w:space="0" w:color="auto"/>
        <w:left w:val="none" w:sz="0" w:space="0" w:color="auto"/>
        <w:bottom w:val="none" w:sz="0" w:space="0" w:color="auto"/>
        <w:right w:val="none" w:sz="0" w:space="0" w:color="auto"/>
      </w:divBdr>
    </w:div>
    <w:div w:id="1356153071">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D007A-44F9-4E28-B3CA-B5DAEC15A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971</TotalTime>
  <Pages>4</Pages>
  <Words>1314</Words>
  <Characters>7491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8788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Majmundar, Milap</cp:lastModifiedBy>
  <cp:revision>58</cp:revision>
  <dcterms:created xsi:type="dcterms:W3CDTF">2018-04-04T03:17:00Z</dcterms:created>
  <dcterms:modified xsi:type="dcterms:W3CDTF">2018-04-06T03:52:00Z</dcterms:modified>
</cp:coreProperties>
</file>